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pPr>
        <w:pStyle w:val="Title"/>
        <w:jc w:val="center"/>
      </w:pPr>
      <w:r>
        <w:t>SOFTWARE DEVELOPMENT LIFE CYCLE POLICY</w:t>
      </w:r>
    </w:p>
    <w:tbl>
      <w:tblPr>
        <w:tblStyle w:val="TableGrid"/>
        <w:tblW w:type="auto" w:w="0"/>
        <w:tblLook w:firstColumn="1" w:firstRow="1" w:lastColumn="0" w:lastRow="0" w:noHBand="0" w:noVBand="1" w:val="04A0"/>
      </w:tblPr>
      <w:tblGrid>
        <w:gridCol w:w="4961"/>
        <w:gridCol w:w="4961"/>
      </w:tblGrid>
      <w:tr>
        <w:tc>
          <w:tcPr>
            <w:tcW w:type="dxa" w:w="4961"/>
          </w:tcPr>
          <w:p>
            <w:r>
              <w:rPr>
                <w:sz w:val="18"/>
              </w:rPr>
              <w:t>Policy Document ID</w:t>
            </w:r>
          </w:p>
        </w:tc>
        <w:tc>
          <w:tcPr>
            <w:tcW w:type="dxa" w:w="4961"/>
          </w:tcPr>
          <w:p>
            <w:r>
              <w:rPr>
                <w:sz w:val="18"/>
              </w:rPr>
              <w:t>ZED-POL-32</w:t>
            </w:r>
          </w:p>
        </w:tc>
      </w:tr>
      <w:tr>
        <w:tc>
          <w:tcPr>
            <w:tcW w:type="dxa" w:w="4961"/>
          </w:tcPr>
          <w:p>
            <w:r>
              <w:rPr>
                <w:sz w:val="18"/>
              </w:rPr>
              <w:t>Document Version</w:t>
            </w:r>
          </w:p>
        </w:tc>
        <w:tc>
          <w:tcPr>
            <w:tcW w:type="dxa" w:w="4961"/>
          </w:tcPr>
          <w:p>
            <w:r>
              <w:rPr>
                <w:sz w:val="18"/>
              </w:rPr>
              <w:t>v2.0 (Renewal 2025–2026)</w:t>
            </w:r>
          </w:p>
        </w:tc>
      </w:tr>
      <w:tr>
        <w:tc>
          <w:tcPr>
            <w:tcW w:type="dxa" w:w="4961"/>
          </w:tcPr>
          <w:p>
            <w:r>
              <w:rPr>
                <w:sz w:val="18"/>
              </w:rPr>
              <w:t>Last Review Date</w:t>
            </w:r>
          </w:p>
        </w:tc>
        <w:tc>
          <w:tcPr>
            <w:tcW w:type="dxa" w:w="4961"/>
          </w:tcPr>
          <w:p>
            <w:r>
              <w:t>October 1, 2025</w:t>
            </w:r>
          </w:p>
        </w:tc>
      </w:tr>
      <w:tr>
        <w:tc>
          <w:tcPr>
            <w:tcW w:type="dxa" w:w="4961"/>
          </w:tcPr>
          <w:p>
            <w:r>
              <w:rPr>
                <w:sz w:val="18"/>
              </w:rPr>
              <w:t>Approval Authority / Status</w:t>
            </w:r>
          </w:p>
        </w:tc>
        <w:tc>
          <w:tcPr>
            <w:tcW w:type="dxa" w:w="4961"/>
          </w:tcPr>
          <w:p>
            <w:r>
              <w:rPr>
                <w:sz w:val="18"/>
              </w:rPr>
              <w:t>Chief Information Security Officer (CISO) &amp; Management; authorized approval to be recorded</w:t>
            </w:r>
          </w:p>
        </w:tc>
      </w:tr>
      <w:tr>
        <w:tc>
          <w:tcPr>
            <w:tcW w:type="dxa" w:w="4961"/>
          </w:tcPr>
          <w:p>
            <w:r>
              <w:rPr>
                <w:sz w:val="18"/>
              </w:rPr>
              <w:t>Classification</w:t>
            </w:r>
          </w:p>
        </w:tc>
        <w:tc>
          <w:tcPr>
            <w:tcW w:type="dxa" w:w="4961"/>
          </w:tcPr>
          <w:p>
            <w:r>
              <w:rPr>
                <w:sz w:val="18"/>
              </w:rPr>
              <w:t>Confidential – Internal &amp; Authorized Auditor Access Only</w:t>
            </w:r>
          </w:p>
        </w:tc>
      </w:tr>
    </w:tbl>
    <w:p>
      <w:pPr>
        <w:pStyle w:val="Heading1"/>
      </w:pPr>
      <w:r>
        <w:t>1. Purpose and scope</w:t>
      </w:r>
    </w:p>
    <w:p>
      <w:r>
        <w:t>Apply security, privacy, quality, and change controls throughout planning, development, testing, release, and maintenance of software and infrastructure services.</w:t>
      </w:r>
    </w:p>
    <w:p>
      <w:pPr>
        <w:pStyle w:val="Heading1"/>
      </w:pPr>
      <w:r>
        <w:t>2. Planning and design</w:t>
      </w:r>
    </w:p>
    <w:p>
      <w:r>
        <w:t>Define the service owner, business requirements, data classification, access model, security/privacy requirements, dependencies, and acceptance criteria before development. Assess material changes for threat, availability, and privacy risk.</w:t>
      </w:r>
    </w:p>
    <w:p>
      <w:pPr>
        <w:pStyle w:val="Heading1"/>
      </w:pPr>
      <w:r>
        <w:t>3. Development controls</w:t>
      </w:r>
    </w:p>
    <w:p>
      <w:r>
        <w:t>Use approved version control and individual accounts. Restrict repository access by role. Review code and infrastructure changes independently where practicable. Protect secrets, customer data, and production credentials. Track dependencies and remediate known vulnerabilities based on risk.</w:t>
      </w:r>
    </w:p>
    <w:p>
      <w:pPr>
        <w:pStyle w:val="Heading1"/>
      </w:pPr>
      <w:r>
        <w:t>4. Testing and release</w:t>
      </w:r>
    </w:p>
    <w:p>
      <w:r>
        <w:t>Test functionality, security, and failure behavior appropriate to risk. Record results and resolve critical findings or obtain documented risk acceptance before release. An authorized person approves production release. Separate development and production access where practicable and use a documented rollback plan.</w:t>
      </w:r>
    </w:p>
    <w:p>
      <w:pPr>
        <w:pStyle w:val="Heading1"/>
      </w:pPr>
      <w:r>
        <w:t>5. Operations and retirement</w:t>
      </w:r>
    </w:p>
    <w:p>
      <w:r>
        <w:t>Monitor service health and security, manage changes through approved procedures, review access, maintain supported components, and securely retire services and data under retention requirements.</w:t>
      </w:r>
    </w:p>
    <w:p>
      <w:pPr>
        <w:pStyle w:val="Heading1"/>
      </w:pPr>
      <w:r>
        <w:t>6. Records and review</w:t>
      </w:r>
    </w:p>
    <w:p>
      <w:r>
        <w:t>Retain requirements, design reviews, code reviews, test results, vulnerability findings, release approvals, and operational handoffs. The engineering owner reviews this policy annually. Tool-specific controls must be verified before inclusion.</w:t>
      </w:r>
    </w:p>
    <w:p>
      <w:pPr>
        <w:pStyle w:val="Heading1"/>
      </w:pPr>
      <w:r>
        <w:t>Document approval</w:t>
      </w:r>
    </w:p>
    <w:p>
      <w:r>
        <w:t>Approval name, role, signature/record reference, and approval date must be completed by authorized personnel after substantive review. This draft is not evidence of approval or operation during the audit period.</w:t>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standalone='yes'?>
<Relationships xmlns="http://schemas.openxmlformats.org/package/2006/relationships"><Relationship Id="rId1" Type="http://schemas.openxmlformats.org/officeDocument/2006/relationships/image" Target="media/je6K0OmXo0VKSMs4Fv.png"/><Relationship Id="rId2" Type="http://schemas.openxmlformats.org/officeDocument/2006/relationships/image" Target="media/02jMn1uAdpmXYHQr7W.png"/><Relationship Id="rId3" Type="http://schemas.openxmlformats.org/officeDocument/2006/relationships/image" Target="media/2ylhVhWslYEYAsybq2.png"/></Relationships>
</file>

<file path=word/_rels/header1.xml.rels><?xml version='1.0' encoding='UTF-8' standalone='yes'?>
<Relationships xmlns="http://schemas.openxmlformats.org/package/2006/relationships"><Relationship Id="rId1" Type="http://schemas.openxmlformats.org/officeDocument/2006/relationships/image" Target="media/pSvq1tuXF72l2c3yev.png"/></Relationships>
</file>

<file path=word/_rels/header2.xml.rels><?xml version='1.0' encoding='UTF-8' standalone='yes'?>
<Relationships xmlns="http://schemas.openxmlformats.org/package/2006/relationships"><Relationship Id="rId1" Type="http://schemas.openxmlformats.org/officeDocument/2006/relationships/image" Target="media/XS2oVf8ywzsC44d72N.png"/><Relationship Id="rId2" Type="http://schemas.openxmlformats.org/officeDocument/2006/relationships/image" Target="media/d8sUbVsKlnbTvVufqd.png"/><Relationship Id="rId3" Type="http://schemas.openxmlformats.org/officeDocument/2006/relationships/image" Target="media/htyGn1ZJ7uOCkPKKx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BGtbaOzYCkufvGS0ctt0Bl5BQ==">CgMxLjAyDmguM3IwYno3Mjd3cGoxMg5oLmM1Mmx5dnl4ZXA4dTIOaC53dWNmNWdybWVtZ3YyDmguemdneTc0M3dkMHA3Mg5oLmFnbjB4b3MxYTNhYzIOaC41dzFkZDB1MmV5YXgyDmgudXN6MGF4ODV2ejk1Mg5oLngxcjhjNmY2dWZ5bTIOaC5oZmp1dnYzdm9nb28yDmguNjMxcHpzNjhnb2M0Mg5oLm1sYjV2c2x1bDZqbDgAciExemdQVUQwUFNaYmV0aUdmUFl5ZElReWNtd2s5QnR2c2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