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pStyle w:val="Title"/>
        <w:jc w:val="center"/>
      </w:pPr>
      <w:r>
        <w:t>DATA STORAGE POLICY</w:t>
      </w:r>
    </w:p>
    <w:tbl>
      <w:tblPr>
        <w:tblStyle w:val="TableGrid"/>
        <w:tblW w:type="auto" w:w="0"/>
        <w:tblLook w:firstColumn="1" w:firstRow="1" w:lastColumn="0" w:lastRow="0" w:noHBand="0" w:noVBand="1" w:val="04A0"/>
      </w:tblPr>
      <w:tblGrid>
        <w:gridCol w:w="4961"/>
        <w:gridCol w:w="4961"/>
      </w:tblGrid>
      <w:tr>
        <w:tc>
          <w:tcPr>
            <w:tcW w:type="dxa" w:w="4961"/>
          </w:tcPr>
          <w:p>
            <w:r>
              <w:rPr>
                <w:sz w:val="18"/>
              </w:rPr>
              <w:t>Policy Document ID</w:t>
            </w:r>
          </w:p>
        </w:tc>
        <w:tc>
          <w:tcPr>
            <w:tcW w:type="dxa" w:w="4961"/>
          </w:tcPr>
          <w:p>
            <w:r>
              <w:rPr>
                <w:sz w:val="18"/>
              </w:rPr>
              <w:t>ZED-POL-37</w:t>
            </w:r>
          </w:p>
        </w:tc>
      </w:tr>
      <w:tr>
        <w:tc>
          <w:tcPr>
            <w:tcW w:type="dxa" w:w="4961"/>
          </w:tcPr>
          <w:p>
            <w:r>
              <w:rPr>
                <w:sz w:val="18"/>
              </w:rPr>
              <w:t>Document Version</w:t>
            </w:r>
          </w:p>
        </w:tc>
        <w:tc>
          <w:tcPr>
            <w:tcW w:type="dxa" w:w="4961"/>
          </w:tcPr>
          <w:p>
            <w:r>
              <w:rPr>
                <w:sz w:val="18"/>
              </w:rPr>
              <w:t>v2.0 (Renewal 2025–2026)</w:t>
            </w:r>
          </w:p>
        </w:tc>
      </w:tr>
      <w:tr>
        <w:tc>
          <w:tcPr>
            <w:tcW w:type="dxa" w:w="4961"/>
          </w:tcPr>
          <w:p>
            <w:r>
              <w:rPr>
                <w:sz w:val="18"/>
              </w:rPr>
              <w:t>Last Review Date</w:t>
            </w:r>
          </w:p>
        </w:tc>
        <w:tc>
          <w:tcPr>
            <w:tcW w:type="dxa" w:w="4961"/>
          </w:tcPr>
          <w:p>
            <w:r>
              <w:t>October 1, 2025</w:t>
            </w:r>
          </w:p>
        </w:tc>
      </w:tr>
      <w:tr>
        <w:tc>
          <w:tcPr>
            <w:tcW w:type="dxa" w:w="4961"/>
          </w:tcPr>
          <w:p>
            <w:r>
              <w:rPr>
                <w:sz w:val="18"/>
              </w:rPr>
              <w:t>Approval Authority / Status</w:t>
            </w:r>
          </w:p>
        </w:tc>
        <w:tc>
          <w:tcPr>
            <w:tcW w:type="dxa" w:w="4961"/>
          </w:tcPr>
          <w:p>
            <w:r>
              <w:rPr>
                <w:sz w:val="18"/>
              </w:rPr>
              <w:t>Chief Information Security Officer (CISO) &amp; Management; authorized approval to be recorded</w:t>
            </w:r>
          </w:p>
        </w:tc>
      </w:tr>
      <w:tr>
        <w:tc>
          <w:tcPr>
            <w:tcW w:type="dxa" w:w="4961"/>
          </w:tcPr>
          <w:p>
            <w:r>
              <w:rPr>
                <w:sz w:val="18"/>
              </w:rPr>
              <w:t>Classification</w:t>
            </w:r>
          </w:p>
        </w:tc>
        <w:tc>
          <w:tcPr>
            <w:tcW w:type="dxa" w:w="4961"/>
          </w:tcPr>
          <w:p>
            <w:r>
              <w:rPr>
                <w:sz w:val="18"/>
              </w:rPr>
              <w:t>Confidential – Internal &amp; Authorized Auditor Access Only</w:t>
            </w:r>
          </w:p>
        </w:tc>
      </w:tr>
    </w:tbl>
    <w:p>
      <w:pPr>
        <w:pStyle w:val="Heading1"/>
      </w:pPr>
      <w:r>
        <w:t>1. Purpose and scope</w:t>
      </w:r>
    </w:p>
    <w:p>
      <w:r>
        <w:t>Set requirements for storing company, customer, and personal information on endpoints, servers, cloud platforms, removable media, and third-party services.</w:t>
      </w:r>
    </w:p>
    <w:p>
      <w:pPr>
        <w:pStyle w:val="Heading1"/>
      </w:pPr>
      <w:r>
        <w:t>2. Approved locations</w:t>
      </w:r>
    </w:p>
    <w:p>
      <w:r>
        <w:t>Store business information only in organization-approved repositories and services with an assigned owner, documented purpose, access controls, and appropriate contractual/privacy review. Do not place restricted data in personal accounts, unapproved devices, or public repositories.</w:t>
      </w:r>
    </w:p>
    <w:p>
      <w:pPr>
        <w:pStyle w:val="Heading1"/>
      </w:pPr>
      <w:r>
        <w:t>3. Protection</w:t>
      </w:r>
    </w:p>
    <w:p>
      <w:r>
        <w:t>Classify information and apply safeguards proportionate to sensitivity and risk. Restrict access to authorized users, protect data in transit and at rest using approved mechanisms appropriate to the platform, separate production and non-production data where practicable, and monitor access to sensitive repositories. Mask or minimize personal/customer data in test environments.</w:t>
      </w:r>
    </w:p>
    <w:p>
      <w:pPr>
        <w:pStyle w:val="Heading1"/>
      </w:pPr>
      <w:r>
        <w:t>4. Retention and disposal</w:t>
      </w:r>
    </w:p>
    <w:p>
      <w:r>
        <w:t>Retain data only for an approved business, legal, or contractual period. Apply legal holds where authorized. At end of retention, securely delete or destroy information and document exceptions or disposal evidence as required.</w:t>
      </w:r>
    </w:p>
    <w:p>
      <w:pPr>
        <w:pStyle w:val="Heading1"/>
      </w:pPr>
      <w:r>
        <w:t>5. Cloud and third parties</w:t>
      </w:r>
    </w:p>
    <w:p>
      <w:r>
        <w:t>Before storing data with a cloud or service provider, confirm service approval, data location and access, security terms, subprocessors, incident notice, backup/resilience responsibilities, return/deletion, and exit arrangements. Review changes that affect data location or service risk.</w:t>
      </w:r>
    </w:p>
    <w:p>
      <w:pPr>
        <w:pStyle w:val="Heading1"/>
      </w:pPr>
      <w:r>
        <w:t>6. Responsibilities and review</w:t>
      </w:r>
    </w:p>
    <w:p>
      <w:r>
        <w:t>Data owners define classification, access, and retention; IT/security configures controls; privacy/legal reviews applicable obligations. Review this policy annually. Specific algorithms, regions, and provider settings require confirmation from current configuration evidence.</w:t>
      </w:r>
    </w:p>
    <w:p>
      <w:pPr>
        <w:pStyle w:val="Heading1"/>
      </w:pPr>
      <w:r>
        <w:t>Document approval</w:t>
      </w:r>
    </w:p>
    <w:p>
      <w:r>
        <w:t>Approval name, role, signature/record reference, and approval date must be completed by authorized personnel after substantive review. This draft is not evidence of approval or operation during the audit period.</w:t>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ggjBZEU2Pjq2TA0dPHD7x4M50w==">CgMxLjAyDmgueWt4ajh0cHgzbmk2Mg5oLjk1NnJnYTRwenExcTIOaC5yYnJ6MW9xMTR0Ym0yDmguaTRhZDFoMzd0Zzg3Mg5oLmZ5NWMwdW4zMWt6aDIOaC4xc3B4NG80d213czQyDmgucXptODYyZnBnYXppMg5oLnR3NXdxN2NraDE4MTIOaC5rYnpiY3l5ZzQwbTIyDmgudWgwd2hzeGplcjVkMg5oLmpoNTV0MTdkN20wbTgAciExbE0tOXRtcWhZalJyTW5GdWpkYWtwWHpFUkRfZEU3b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