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REMOTE WORKING AND TELEWORKING POLICY</w:t>
      </w:r>
    </w:p>
    <w:tbl>
      <w:tblPr>
        <w:tblStyle w:val="TableGrid"/>
        <w:tblW w:type="auto" w:w="0"/>
        <w:tblLook w:firstColumn="1" w:firstRow="1" w:lastColumn="0" w:lastRow="0" w:noHBand="0" w:noVBand="1" w:val="04A0"/>
      </w:tblPr>
      <w:tblGrid>
        <w:gridCol w:w="5128"/>
        <w:gridCol w:w="5128"/>
      </w:tblGrid>
      <w:tr>
        <w:tc>
          <w:tcPr>
            <w:tcW w:type="dxa" w:w="5128"/>
          </w:tcPr>
          <w:p>
            <w:r>
              <w:rPr>
                <w:sz w:val="18"/>
              </w:rPr>
              <w:t>Policy Document ID</w:t>
            </w:r>
          </w:p>
        </w:tc>
        <w:tc>
          <w:tcPr>
            <w:tcW w:type="dxa" w:w="5128"/>
          </w:tcPr>
          <w:p>
            <w:r>
              <w:rPr>
                <w:sz w:val="18"/>
              </w:rPr>
              <w:t>ZED-POL-39</w:t>
            </w:r>
          </w:p>
        </w:tc>
      </w:tr>
      <w:tr>
        <w:tc>
          <w:tcPr>
            <w:tcW w:type="dxa" w:w="5128"/>
          </w:tcPr>
          <w:p>
            <w:r>
              <w:rPr>
                <w:sz w:val="18"/>
              </w:rPr>
              <w:t>Document Version</w:t>
            </w:r>
          </w:p>
        </w:tc>
        <w:tc>
          <w:tcPr>
            <w:tcW w:type="dxa" w:w="5128"/>
          </w:tcPr>
          <w:p>
            <w:r>
              <w:rPr>
                <w:sz w:val="18"/>
              </w:rPr>
              <w:t>v2.0 (Renewal 2025–2026)</w:t>
            </w:r>
          </w:p>
        </w:tc>
      </w:tr>
      <w:tr>
        <w:tc>
          <w:tcPr>
            <w:tcW w:type="dxa" w:w="5128"/>
          </w:tcPr>
          <w:p>
            <w:r>
              <w:rPr>
                <w:sz w:val="18"/>
              </w:rPr>
              <w:t>Last Review Date</w:t>
            </w:r>
          </w:p>
        </w:tc>
        <w:tc>
          <w:tcPr>
            <w:tcW w:type="dxa" w:w="5128"/>
          </w:tcPr>
          <w:p>
            <w:r>
              <w:t>October 1, 2025</w:t>
            </w:r>
          </w:p>
        </w:tc>
      </w:tr>
      <w:tr>
        <w:tc>
          <w:tcPr>
            <w:tcW w:type="dxa" w:w="5128"/>
          </w:tcPr>
          <w:p>
            <w:r>
              <w:rPr>
                <w:sz w:val="18"/>
              </w:rPr>
              <w:t>Approval Authority / Status</w:t>
            </w:r>
          </w:p>
        </w:tc>
        <w:tc>
          <w:tcPr>
            <w:tcW w:type="dxa" w:w="5128"/>
          </w:tcPr>
          <w:p>
            <w:r>
              <w:rPr>
                <w:sz w:val="18"/>
              </w:rPr>
              <w:t>Chief Information Security Officer (CISO) &amp; Management; authorized approval to be recorded</w:t>
            </w:r>
          </w:p>
        </w:tc>
      </w:tr>
      <w:tr>
        <w:tc>
          <w:tcPr>
            <w:tcW w:type="dxa" w:w="5128"/>
          </w:tcPr>
          <w:p>
            <w:r>
              <w:rPr>
                <w:sz w:val="18"/>
              </w:rPr>
              <w:t>Classification</w:t>
            </w:r>
          </w:p>
        </w:tc>
        <w:tc>
          <w:tcPr>
            <w:tcW w:type="dxa" w:w="5128"/>
          </w:tcPr>
          <w:p>
            <w:r>
              <w:rPr>
                <w:sz w:val="18"/>
              </w:rPr>
              <w:t>Confidential – Internal &amp; Authorized Auditor Access Only</w:t>
            </w:r>
          </w:p>
        </w:tc>
      </w:tr>
    </w:tbl>
    <w:p>
      <w:pPr>
        <w:pStyle w:val="Heading1"/>
      </w:pPr>
      <w:r>
        <w:t>1. Purpose and scope</w:t>
      </w:r>
    </w:p>
    <w:p>
      <w:r>
        <w:t>Protect company and customer information when personnel work outside an approved company location. Applies to employees and contractors authorized for remote work.</w:t>
      </w:r>
    </w:p>
    <w:p>
      <w:pPr>
        <w:pStyle w:val="Heading1"/>
      </w:pPr>
      <w:r>
        <w:t>2. Workspace and device security</w:t>
      </w:r>
    </w:p>
    <w:p>
      <w:r>
        <w:t>Use company-managed or explicitly approved devices. Keep devices physically secure, lock screens when unattended, prevent household or public access to work information, and use privacy protections where appropriate. Report loss, theft, or suspected compromise promptly.</w:t>
      </w:r>
    </w:p>
    <w:p>
      <w:pPr>
        <w:pStyle w:val="Heading1"/>
      </w:pPr>
      <w:r>
        <w:t>3. Network and information handling</w:t>
      </w:r>
    </w:p>
    <w:p>
      <w:r>
        <w:t>Connect through organization-approved secure access controls and authentication. Avoid public or shared devices and untrusted networks for sensitive work. Store information only in approved repositories; do not transfer it to personal email, personal storage, or unapproved applications. Printed sensitive information must be protected and securely disposed of.</w:t>
      </w:r>
    </w:p>
    <w:p>
      <w:pPr>
        <w:pStyle w:val="Heading1"/>
      </w:pPr>
      <w:r>
        <w:t>4. Work practices and incidents</w:t>
      </w:r>
    </w:p>
    <w:p>
      <w:r>
        <w:t>Follow the same access, acceptable-use, privacy, and incident-reporting rules as at company premises. Do not discuss or display confidential information where unauthorized persons can see or hear it. Report security or privacy incidents through the designated channel.</w:t>
      </w:r>
    </w:p>
    <w:p>
      <w:pPr>
        <w:pStyle w:val="Heading1"/>
      </w:pPr>
      <w:r>
        <w:t>5. Responsibilities and review</w:t>
      </w:r>
    </w:p>
    <w:p>
      <w:r>
        <w:t>Managers authorize remote work based on role and business needs; IT/security defines approved devices and connection safeguards; users comply and protect assigned equipment. HR coordinates return of assets and access changes when work arrangements end. Review this policy annually; confirm any location-specific legal requirements before implementation.</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rsidR="00FC693F" w:rsidRPr="0006063C" w:rsidSect="00034616">
      <w:headerReference xmlns:r="http://schemas.openxmlformats.org/officeDocument/2006/relationships" r:id="rId9" w:type="default"/>
      <w:headerReference xmlns:r="http://schemas.openxmlformats.org/officeDocument/2006/relationships" r:id="rId10" w:type="first"/>
      <w:footerReference xmlns:r="http://schemas.openxmlformats.org/officeDocument/2006/relationships" r:id="rId11" w:type="first"/>
      <w:footerReference xmlns:r="http://schemas.openxmlformats.org/officeDocument/2006/relationships" r:id="rId12" w:type="default"/>
      <w:pgSz w:w="12240" w:h="15840"/>
      <w:pgMar w:header="0" w:bottom="1440" w:left="851" w:right="1133" w:top="567" w:foo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