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Solution &amp; Implementation Plan</w:t>
      </w:r>
    </w:p>
    <w:p>
      <w:pPr>
        <w:pStyle w:val="Heading2"/>
        <w:spacing w:after="300"/>
      </w:pPr>
      <w:r>
        <w:t xml:space="preserve">AI-Enabled Product Engineering — Service Page Rewrite</w:t>
      </w:r>
    </w:p>
    <w:p>
      <w:pPr>
        <w:spacing w:after="80"/>
      </w:pPr>
      <w:r>
        <w:rPr>
          <w:b w:val="false"/>
          <w:bCs w:val="false"/>
          <w:i w:val="false"/>
          <w:iCs w:val="false"/>
        </w:rPr>
        <w:t xml:space="preserve">Page: https://zediant.com/services/ai-enabled-product-engineering/</w:t>
      </w:r>
    </w:p>
    <w:p>
      <w:pPr>
        <w:spacing w:after="80"/>
      </w:pPr>
      <w:r>
        <w:rPr>
          <w:b w:val="false"/>
          <w:bCs w:val="false"/>
          <w:i w:val="false"/>
          <w:iCs w:val="false"/>
        </w:rPr>
        <w:t xml:space="preserve">Prepared: August 29, 2026 — companion document to the prior audit ("Strategic, Content, UX/Design &amp; SEO Audit")</w:t>
      </w:r>
    </w:p>
    <w:p>
      <w:pPr>
        <w:spacing w:after="80"/>
      </w:pPr>
      <w:r>
        <w:rPr>
          <w:b/>
          <w:bCs/>
          <w:i w:val="false"/>
          <w:iCs w:val="false"/>
        </w:rPr>
        <w:t xml:space="preserve">Status: PROPOSED COPY, FOR REVIEW. Nothing in this document has been published. Every line of new copy below is built from facts already approved and documented in this project (context/services.md, context/campaigns.md, context/company.md, context/case_studies.md) — no new claim, statistic, or case study result has been invented.</w:t>
      </w:r>
    </w:p>
    <w:p>
      <w:pPr>
        <w:spacing w:after="200"/>
      </w:pPr>
    </w:p>
    <w:p>
      <w:pPr>
        <w:spacing w:after="100"/>
      </w:pPr>
      <w:r>
        <w:rPr>
          <w:b w:val="false"/>
          <w:bCs w:val="false"/>
          <w:i w:val="false"/>
          <w:iCs w:val="false"/>
        </w:rPr>
        <w:t xml:space="preserve">How to use this document: Section 4 walks the page top-to-bottom, current section by current section, showing exactly what changes and why. Section 5 gives you the full page as one continuous clean draft for a single read-through. Sections 6–7 summarize new sections and removed content as a quick-reference list. Section 8 is the step-by-step build sequence. Section 9 is the pre-publish compliance checklist. Section 10 lists the decisions that need a human sign-off before this can ship.</w:t>
      </w:r>
    </w:p>
    <w:p>
      <w:r>
        <w:br w:type="page"/>
      </w:r>
    </w:p>
    <w:p>
      <w:pPr>
        <w:pStyle w:val="Heading1"/>
        <w:spacing w:after="200" w:before="400"/>
      </w:pPr>
      <w:r>
        <w:t xml:space="preserve">1. Scope &amp; Ground Rules</w:t>
      </w:r>
    </w:p>
    <w:p>
      <w:pPr>
        <w:spacing w:after="160"/>
      </w:pPr>
      <w:r>
        <w:rPr>
          <w:b w:val="false"/>
          <w:bCs w:val="false"/>
          <w:i w:val="false"/>
          <w:iCs w:val="false"/>
        </w:rPr>
        <w:t xml:space="preserve">This document proposes replacement copy, two new content sections, one conditional section, and the removal of five specific claims, following directly from the P0/P1/P2 recommendations in the prior audit. It does not touch the visual design system, the CMS/template, or any other Zediant page — those are flagged as separate, parallel workstreams in Section 8 where they matter (e.g., the two decorative images).</w:t>
      </w:r>
    </w:p>
    <w:p>
      <w:pPr>
        <w:spacing w:after="160"/>
      </w:pPr>
      <w:r>
        <w:rPr>
          <w:b w:val="false"/>
          <w:bCs w:val="false"/>
          <w:i w:val="false"/>
          <w:iCs w:val="false"/>
        </w:rPr>
        <w:t xml:space="preserve">Every proposed sentence below is sourced from an existing, approved internal document. Where a number, claim, or fact could not be sourced this way, the section says so explicitly rather than filling the gap — consistent with policies/claims-and-compliance.md's CONFIRMED / LIKELY / UNKNOWN framework.</w:t>
      </w:r>
    </w:p>
    <w:p>
      <w:pPr>
        <w:pStyle w:val="Heading1"/>
        <w:spacing w:after="200" w:before="400"/>
      </w:pPr>
      <w:r>
        <w:t xml:space="preserve">2. Correction &amp; Approval Note — Please Read Before Section 4</w:t>
      </w:r>
    </w:p>
    <w:p>
      <w:pPr>
        <w:spacing w:after="160"/>
      </w:pPr>
      <w:r>
        <w:rPr>
          <w:b/>
          <w:bCs/>
        </w:rPr>
        <w:t xml:space="preserve">This updates one recommendation from the prior audit.</w:t>
      </w:r>
    </w:p>
    <w:p>
      <w:pPr>
        <w:spacing w:after="160"/>
      </w:pPr>
      <w:r>
        <w:rPr>
          <w:b w:val="false"/>
          <w:bCs w:val="false"/>
          <w:i w:val="false"/>
          <w:iCs w:val="false"/>
        </w:rPr>
        <w:t xml:space="preserve">The prior audit's Proof/Case Study section, following this project's earlier seo-audit/05-case-study-audit.md working file, suggested the Real-Time Executive Dashboards case study (Zakaa/Diamond Professional Consultants, CS-05) as the closest available fit for a case study spotlight on this page. On re-checking the authoritative source directly for this document (context/case_studies.md, which policies/claims-and-compliance.md §8 names as the sole approved source for case-study claims), two things supersede that suggestion:</w:t>
      </w:r>
    </w:p>
    <w:p>
      <w:pPr>
        <w:pStyle w:val="ListParagraph"/>
        <w:numPr>
          <w:ilvl w:val="0"/>
          <w:numId w:val="1"/>
        </w:numPr>
        <w:spacing w:after="60"/>
      </w:pPr>
      <w:r>
        <w:t xml:space="preserve">context/case_studies.md states directly: "C1 — AI-Enabled Product Engineering currently has NO approved case study," and explicitly confirms CS-05 is not associated with C1 — its documented Campaign Association is C4 (Middleware &amp; API Integration), based on its actual business problem (fragmented KPI reporting, not a product build/rebuild).</w:t>
      </w:r>
    </w:p>
    <w:p>
      <w:pPr>
        <w:pStyle w:val="ListParagraph"/>
        <w:numPr>
          <w:ilvl w:val="0"/>
          <w:numId w:val="1"/>
        </w:numPr>
        <w:spacing w:after="60"/>
      </w:pPr>
      <w:r>
        <w:t xml:space="preserve">Every single case study in context/case_studies.md — all ten, including CS-05 — carries the status External Use Approval: HUMAN APPROVAL REQUIRED. None currently has confirmed sign-off for use in new external marketing placement, regardless of campaign fit.</w:t>
      </w:r>
    </w:p>
    <w:p>
      <w:pPr>
        <w:spacing w:after="160"/>
      </w:pPr>
      <w:r>
        <w:rPr>
          <w:b w:val="false"/>
          <w:bCs w:val="false"/>
          <w:i w:val="false"/>
          <w:iCs w:val="false"/>
        </w:rPr>
        <w:t xml:space="preserve">context/services.md's own C1 section separately names two case studies — the Cryptocurrency Trading Application (CS-07) and Wholesale Parts CRM (CS-02) — as citable for C1 only as general product/application delivery evidence, never as AI/LLM feature proof, with the same caveat that case_studies.md governs. Given case_studies.md's more direct "no approved case study" statement, this document treats a case study spotlight on this page as conditional, not ready-to-ship copy — see Section 4, item 6, and Section 10 for what needs to happen before it can run. This is a self-correction from the prior audit, made in the interest of not overstating what's currently approved for use.</w:t>
      </w:r>
    </w:p>
    <w:p>
      <w:pPr>
        <w:pStyle w:val="Heading1"/>
        <w:spacing w:after="200" w:before="400"/>
      </w:pPr>
      <w:r>
        <w:t xml:space="preserve">3. Target Positioning Statement</w:t>
      </w:r>
    </w:p>
    <w:p>
      <w:pPr>
        <w:spacing w:after="160"/>
      </w:pPr>
      <w:r>
        <w:rPr>
          <w:b w:val="false"/>
          <w:bCs w:val="false"/>
          <w:i w:val="false"/>
          <w:iCs w:val="false"/>
        </w:rPr>
        <w:t xml:space="preserve">Every rewrite below is anchored to one sentence, assembled entirely from language already approved elsewhere in Zediant's own materials (context/campaigns.md's C1 messaging angle, context/services.md's mandatory scoping rule, and the Who We Are / Engineering Excellence pages):</w:t>
      </w:r>
    </w:p>
    <w:p>
      <w:pPr>
        <w:spacing w:after="200" w:before="100"/>
        <w:ind w:left="400" w:right="400"/>
      </w:pPr>
      <w:r>
        <w:rPr>
          <w:b/>
          <w:bCs/>
          <w:i/>
          <w:iCs/>
          <w:color w:val="1F3864"/>
          <w:sz w:val="24"/>
          <w:szCs w:val="24"/>
        </w:rPr>
        <w:t xml:space="preserve">“Zediant is a senior-led product engineering partner for funded SaaS and product companies whose roadmap has outgrown their engineering capacity — using an AI-assisted delivery methodology to close that gap faster than a local hire, not selling AI as the product.”</w:t>
      </w:r>
    </w:p>
    <w:p>
      <w:pPr>
        <w:spacing w:after="160"/>
      </w:pPr>
      <w:r>
        <w:rPr>
          <w:b w:val="false"/>
          <w:bCs w:val="false"/>
          <w:i w:val="false"/>
          <w:iCs w:val="false"/>
        </w:rPr>
        <w:t xml:space="preserve">This is the sentence every H1, subhead, and section rewrite below is checked against.</w:t>
      </w:r>
    </w:p>
    <w:p>
      <w:r>
        <w:br w:type="page"/>
      </w:r>
    </w:p>
    <w:p>
      <w:pPr>
        <w:pStyle w:val="Heading1"/>
        <w:spacing w:after="200" w:before="400"/>
      </w:pPr>
      <w:r>
        <w:t xml:space="preserve">4. Section-by-Section Solution</w:t>
      </w:r>
    </w:p>
    <w:p>
      <w:pPr>
        <w:spacing w:after="160"/>
      </w:pPr>
      <w:r>
        <w:rPr>
          <w:b w:val="false"/>
          <w:bCs w:val="false"/>
          <w:i w:val="false"/>
          <w:iCs w:val="false"/>
        </w:rPr>
        <w:t xml:space="preserve">Presented in the page's current top-to-bottom order. New sections are inserted exactly where they should appear; removed content is called out in place.</w:t>
      </w:r>
    </w:p>
    <w:p>
      <w:pPr>
        <w:pStyle w:val="Heading2"/>
        <w:spacing w:after="150" w:before="300"/>
      </w:pPr>
      <w:r>
        <w:t xml:space="preserve">A. Hero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H1: “Build Intelligent Platforms with AI-Ready Architectures”
Subhead: “We design and build scalable SaaS and Enterprise products that leverage Generative AI and Machine Learning to drive competitive advantage.”
CTA: “Explore our AI Capabilities”</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H1: “AI-Enabled Product Engineering for Teams Scaling Faster Than They Can Hire”
Subhead: “Senior engineers, working inside your stack and sprints, building and scaling your SaaS or enterprise product — with an AI-assisted delivery methodology mapped to every stage of the build, so you close the gap between your roadmap and your headcount without a multi-month hiring cycle.”
CTA: “Book a Strategy Session”</w:t>
            </w:r>
          </w:p>
        </w:tc>
      </w:tr>
    </w:tbl>
    <w:p>
      <w:pPr>
        <w:spacing w:after="240" w:before="80"/>
      </w:pPr>
      <w:r>
        <w:rPr>
          <w:b/>
          <w:bCs/>
          <w:color w:val="0B7DC4"/>
        </w:rPr>
        <w:t xml:space="preserve">Why: </w:t>
      </w:r>
      <w:r>
        <w:t xml:space="preserve">The new H1 restores the literal phrase “product engineering” (the page's own name and approved primary keyword) and states the buyer's actual trigger (roadmap vs. headcount), sourced directly from campaigns.md's C1 messaging angle: “Lead with roadmap versus headcount... Effective frame: The roadmap grows faster than you can hire senior engineers locally.” The new subhead removes the unsupported “leverage Generative AI and Machine Learning” product-feature promise and replaces it with the approved value proposition verbatim-adjacent to campaigns.md: “Senior engineering capacity in 5–10 days instead of a multi-month local hiring cycle... AI-assisted delivery methodology mapped to every SDLC stage.” The CTA is standardized to match the homepage's own “Book a Strategy Session” — see Section 4, item H below, for why this replaces three different CTA phrasings sitewide on this page.</w:t>
      </w:r>
    </w:p>
    <w:p>
      <w:pPr>
        <w:spacing w:after="160"/>
      </w:pPr>
      <w:r>
        <w:rPr>
          <w:b w:val="false"/>
          <w:bCs w:val="false"/>
          <w:i w:val="false"/>
          <w:iCs w:val="false"/>
        </w:rPr>
        <w:t xml:space="preserve">Keep unchanged: the eyebrow labels (“SERVICES” / “AI-ENABLED PRODUCT ENGINEERING”) and the trust strip (“Australia | UAE | India | SOC 2 Type II Aligned”) — both are accurate and effective as-is.</w:t>
      </w:r>
    </w:p>
    <w:p>
      <w:pPr>
        <w:pStyle w:val="Heading2"/>
        <w:spacing w:after="150" w:before="300"/>
      </w:pPr>
      <w:r>
        <w:t xml:space="preserve">B. NEW SECTION — “When Your Roadmap Outgrows Your Team” (insert before the current “Building Future-Ready Platforms” section)</w:t>
      </w:r>
    </w:p>
    <w:p>
      <w:pPr>
        <w:shd w:fill="1B6E2A" w:val="clear"/>
        <w:spacing w:after="60" w:before="100"/>
      </w:pPr>
      <w:r>
        <w:rPr>
          <w:b/>
          <w:bCs/>
          <w:color w:val="FFFFFF"/>
        </w:rPr>
        <w:t xml:space="preserve">NEW SECTION</w:t>
      </w:r>
    </w:p>
    <w:p>
      <w:pPr>
        <w:spacing w:after="160"/>
      </w:pPr>
      <w:r>
        <w:rPr>
          <w:b w:val="false"/>
          <w:bCs w:val="false"/>
          <w:i w:val="false"/>
          <w:iCs w:val="false"/>
        </w:rPr>
        <w:t xml:space="preserve">This section does not exist on the live page today. It is the single highest-leverage addition recommended in the prior audit (Section 4/7: “the page never states a recognizable trigger”) and is built entirely from campaigns.md's already-approved C1 Business Problems and Buying Signals lists — no new claim is introduced.</w:t>
      </w:r>
    </w:p>
    <w:p>
      <w:pPr>
        <w:spacing w:after="160"/>
      </w:pPr>
      <w:r>
        <w:rPr>
          <w:b w:val="false"/>
          <w:bCs w:val="false"/>
          <w:i w:val="false"/>
          <w:iCs w:val="false"/>
        </w:rPr>
        <w:t xml:space="preserve">Proposed heading: “When Your Roadmap Outgrows Your Team”</w:t>
      </w:r>
    </w:p>
    <w:p>
      <w:pPr>
        <w:spacing w:after="160"/>
      </w:pPr>
      <w:r>
        <w:rPr>
          <w:b w:val="false"/>
          <w:bCs w:val="false"/>
          <w:i w:val="false"/>
          <w:iCs w:val="false"/>
        </w:rPr>
        <w:t xml:space="preserve">Proposed intro line: “You don't need another generic development shop. You need senior engineers who can start in days, not months — because one or more of these is already true:”</w:t>
      </w:r>
    </w:p>
    <w:p>
      <w:pPr>
        <w:spacing w:after="160"/>
      </w:pPr>
      <w:r>
        <w:rPr>
          <w:b w:val="false"/>
          <w:bCs w:val="false"/>
          <w:i w:val="false"/>
          <w:iCs w:val="false"/>
        </w:rPr>
        <w:t xml:space="preserve">Proposed bullets (sourced from campaigns.md “Business Problems”, lightly rephrased as second-person recognition statements, not rewritten as new claims):</w:t>
      </w:r>
    </w:p>
    <w:p>
      <w:pPr>
        <w:pStyle w:val="ListParagraph"/>
        <w:numPr>
          <w:ilvl w:val="0"/>
          <w:numId w:val="1"/>
        </w:numPr>
        <w:spacing w:after="60"/>
      </w:pPr>
      <w:r>
        <w:t xml:space="preserve">Your roadmap makes commitments to investors or customers your engineering team can't meet on the current timeline.</w:t>
      </w:r>
    </w:p>
    <w:p>
      <w:pPr>
        <w:pStyle w:val="ListParagraph"/>
        <w:numPr>
          <w:ilvl w:val="0"/>
          <w:numId w:val="1"/>
        </w:numPr>
        <w:spacing w:after="60"/>
      </w:pPr>
      <w:r>
        <w:t xml:space="preserve">The wrong senior hire right now would be expensive and slow to unwind.</w:t>
      </w:r>
    </w:p>
    <w:p>
      <w:pPr>
        <w:pStyle w:val="ListParagraph"/>
        <w:numPr>
          <w:ilvl w:val="0"/>
          <w:numId w:val="1"/>
        </w:numPr>
        <w:spacing w:after="60"/>
      </w:pPr>
      <w:r>
        <w:t xml:space="preserve">Your MVP's architecture wasn't built to scale past your current tenant count.</w:t>
      </w:r>
    </w:p>
    <w:p>
      <w:pPr>
        <w:pStyle w:val="ListParagraph"/>
        <w:numPr>
          <w:ilvl w:val="0"/>
          <w:numId w:val="1"/>
        </w:numPr>
        <w:spacing w:after="60"/>
      </w:pPr>
      <w:r>
        <w:t xml:space="preserve">Competitors better funded than you are shipping features faster.</w:t>
      </w:r>
    </w:p>
    <w:p>
      <w:pPr>
        <w:pStyle w:val="ListParagraph"/>
        <w:numPr>
          <w:ilvl w:val="0"/>
          <w:numId w:val="1"/>
        </w:numPr>
        <w:spacing w:after="60"/>
      </w:pPr>
      <w:r>
        <w:t xml:space="preserve">An enterprise customer is asking for security or compliance requirements you're not staffed to meet.</w:t>
      </w:r>
    </w:p>
    <w:p>
      <w:pPr>
        <w:spacing w:after="160"/>
      </w:pPr>
      <w:r>
        <w:rPr>
          <w:b w:val="false"/>
          <w:bCs w:val="false"/>
          <w:i w:val="false"/>
          <w:iCs w:val="false"/>
        </w:rPr>
        <w:t xml:space="preserve">Proposed closing line, tying directly into the next section: “That's the gap AI-Enabled Product Engineering closes — senior capacity, fast, without the multi-month local hiring cycle.”</w:t>
      </w:r>
    </w:p>
    <w:p>
      <w:pPr>
        <w:pStyle w:val="Heading2"/>
        <w:spacing w:after="150" w:before="300"/>
      </w:pPr>
      <w:r>
        <w:t xml:space="preserve">C. “Building Future-Ready Platforms” → differentiator intro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“Zediant combines deep product engineering expertise with AI-enabled development practices to design and build scalable, secure, and intelligent platforms for modern businesses. We work with SaaS companies, enterprise platforms, and high-growth organizations to deliver systems that are not only built for today—but engineered to evolve with future demands. Our approach integrates architecture-first thinking, AI-assisted engineering workflows, and enterprise-grade governance, ensuring that every platform we build is reliable, scalable, and performance-driven.”</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“Zediant combines senior product engineering expertise with an AI-assisted delivery methodology to build and scale SaaS and enterprise products — not just platforms. We work with funded SaaS companies and high-growth product teams to ship systems built for where you're headed, not just where you are today. Our approach pairs architecture-first thinking with AI-assisted engineering workflows mapped to every stage of the build, so speed never comes at the cost of quality or security.”</w:t>
            </w:r>
          </w:p>
        </w:tc>
      </w:tr>
    </w:tbl>
    <w:p>
      <w:pPr>
        <w:spacing w:after="240" w:before="80"/>
      </w:pPr>
      <w:r>
        <w:rPr>
          <w:b/>
          <w:bCs/>
          <w:color w:val="0B7DC4"/>
        </w:rPr>
        <w:t xml:space="preserve">Why: </w:t>
      </w:r>
      <w:r>
        <w:t xml:space="preserve">Reframes “platforms” as “products” throughout (the core fix for the Platform Engineering overlap identified in the audit's Section 8, Q12 and Section 16), and removes “enterprise-grade governance” generic filler in favor of language tying directly back to the roadmap-vs-headcount framing just introduced above it.</w:t>
      </w:r>
    </w:p>
    <w:p>
      <w:pPr>
        <w:pStyle w:val="Heading3"/>
        <w:spacing w:after="100" w:before="200"/>
      </w:pPr>
      <w:r>
        <w:t xml:space="preserve">Key Differentiators — revised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60"/>
              <w:left w:type="dxa" w:w="100"/>
              <w:bottom w:type="dxa" w:w="60"/>
              <w:right w:type="dxa" w:w="100"/>
            </w:tcMar>
          </w:tcPr>
          <w:p>
            <w:r>
              <w:rPr>
                <w:b/>
                <w:bCs/>
                <w:i w:val="false"/>
                <w:iCs w:val="false"/>
                <w:color w:val="FFFFFF"/>
              </w:rPr>
              <w:t xml:space="preserve">Current</w:t>
            </w:r>
          </w:p>
        </w:tc>
        <w:tc>
          <w:tcPr>
            <w:tcW w:type="dxa" w:w="4675"/>
            <w:shd w:fill="1F3864" w:val="clear"/>
            <w:tcMar>
              <w:top w:type="dxa" w:w="60"/>
              <w:left w:type="dxa" w:w="100"/>
              <w:bottom w:type="dxa" w:w="60"/>
              <w:right w:type="dxa" w:w="100"/>
            </w:tcMar>
          </w:tcPr>
          <w:p>
            <w:r>
              <w:rPr>
                <w:b/>
                <w:bCs/>
                <w:i w:val="false"/>
                <w:iCs w:val="false"/>
                <w:color w:val="FFFFFF"/>
              </w:rPr>
              <w:t xml:space="preserve">Proposed</w:t>
            </w:r>
          </w:p>
        </w:tc>
      </w:tr>
      <w:tr>
        <w:tc>
          <w:tcPr>
            <w:tcW w:type="dxa" w:w="4675"/>
            <w:tcMar>
              <w:top w:type="dxa" w:w="60"/>
              <w:left w:type="dxa" w:w="100"/>
              <w:bottom w:type="dxa" w:w="60"/>
              <w:right w:type="dxa" w:w="100"/>
            </w:tcMar>
          </w:tcPr>
          <w:p>
            <w:r>
              <w:rPr>
                <w:b w:val="false"/>
                <w:bCs w:val="false"/>
                <w:i w:val="false"/>
                <w:iCs w:val="false"/>
              </w:rPr>
              <w:t xml:space="preserve">AI-enabled development for faster and more efficient delivery</w:t>
            </w:r>
          </w:p>
        </w:tc>
        <w:tc>
          <w:tcPr>
            <w:tcW w:type="dxa" w:w="4675"/>
            <w:tcMar>
              <w:top w:type="dxa" w:w="60"/>
              <w:left w:type="dxa" w:w="100"/>
              <w:bottom w:type="dxa" w:w="60"/>
              <w:right w:type="dxa" w:w="100"/>
            </w:tcMar>
          </w:tcPr>
          <w:p>
            <w:r>
              <w:rPr>
                <w:b w:val="false"/>
                <w:bCs w:val="false"/>
                <w:i w:val="false"/>
                <w:iCs w:val="false"/>
              </w:rPr>
              <w:t xml:space="preserve">AI-assisted delivery for faster, senior-only engineering (no junior bench)</w:t>
            </w:r>
          </w:p>
        </w:tc>
      </w:tr>
      <w:tr>
        <w:tc>
          <w:tcPr>
            <w:tcW w:type="dxa" w:w="4675"/>
            <w:tcMar>
              <w:top w:type="dxa" w:w="60"/>
              <w:left w:type="dxa" w:w="100"/>
              <w:bottom w:type="dxa" w:w="60"/>
              <w:right w:type="dxa" w:w="100"/>
            </w:tcMar>
          </w:tcPr>
          <w:p>
            <w:r>
              <w:rPr>
                <w:b w:val="false"/>
                <w:bCs w:val="false"/>
                <w:i w:val="false"/>
                <w:iCs w:val="false"/>
              </w:rPr>
              <w:t xml:space="preserve">Platform-first engineering approach (not just feature development)</w:t>
            </w:r>
          </w:p>
        </w:tc>
        <w:tc>
          <w:tcPr>
            <w:tcW w:type="dxa" w:w="4675"/>
            <w:tcMar>
              <w:top w:type="dxa" w:w="60"/>
              <w:left w:type="dxa" w:w="100"/>
              <w:bottom w:type="dxa" w:w="60"/>
              <w:right w:type="dxa" w:w="100"/>
            </w:tcMar>
          </w:tcPr>
          <w:p>
            <w:r>
              <w:rPr>
                <w:b w:val="false"/>
                <w:bCs w:val="false"/>
                <w:i w:val="false"/>
                <w:iCs w:val="false"/>
              </w:rPr>
              <w:t xml:space="preserve">Product-first engineering — built around your roadmap, not just your architecture</w:t>
            </w:r>
          </w:p>
        </w:tc>
      </w:tr>
      <w:tr>
        <w:tc>
          <w:tcPr>
            <w:tcW w:type="dxa" w:w="4675"/>
            <w:tcMar>
              <w:top w:type="dxa" w:w="60"/>
              <w:left w:type="dxa" w:w="100"/>
              <w:bottom w:type="dxa" w:w="60"/>
              <w:right w:type="dxa" w:w="100"/>
            </w:tcMar>
          </w:tcPr>
          <w:p>
            <w:r>
              <w:rPr>
                <w:b w:val="false"/>
                <w:bCs w:val="false"/>
                <w:i w:val="false"/>
                <w:iCs w:val="false"/>
              </w:rPr>
              <w:t xml:space="preserve">Proven experience across global markets — Australia, UAE, and India</w:t>
            </w:r>
          </w:p>
        </w:tc>
        <w:tc>
          <w:tcPr>
            <w:tcW w:type="dxa" w:w="4675"/>
            <w:tcMar>
              <w:top w:type="dxa" w:w="60"/>
              <w:left w:type="dxa" w:w="100"/>
              <w:bottom w:type="dxa" w:w="60"/>
              <w:right w:type="dxa" w:w="100"/>
            </w:tcMar>
          </w:tcPr>
          <w:p>
            <w:r>
              <w:rPr>
                <w:b w:val="false"/>
                <w:bCs w:val="false"/>
                <w:i w:val="false"/>
                <w:iCs w:val="false"/>
              </w:rPr>
              <w:t xml:space="preserve">Proven experience across global markets — Australia, UAE, and India (unchanged)</w:t>
            </w:r>
          </w:p>
        </w:tc>
      </w:tr>
      <w:tr>
        <w:tc>
          <w:tcPr>
            <w:tcW w:type="dxa" w:w="4675"/>
            <w:tcMar>
              <w:top w:type="dxa" w:w="60"/>
              <w:left w:type="dxa" w:w="100"/>
              <w:bottom w:type="dxa" w:w="60"/>
              <w:right w:type="dxa" w:w="100"/>
            </w:tcMar>
          </w:tcPr>
          <w:p>
            <w:r>
              <w:rPr>
                <w:b w:val="false"/>
                <w:bCs w:val="false"/>
                <w:i w:val="false"/>
                <w:iCs w:val="false"/>
              </w:rPr>
              <w:t xml:space="preserve">SOC 2 Type II aligned processes ensuring security and compliance</w:t>
            </w:r>
          </w:p>
        </w:tc>
        <w:tc>
          <w:tcPr>
            <w:tcW w:type="dxa" w:w="4675"/>
            <w:tcMar>
              <w:top w:type="dxa" w:w="60"/>
              <w:left w:type="dxa" w:w="100"/>
              <w:bottom w:type="dxa" w:w="60"/>
              <w:right w:type="dxa" w:w="100"/>
            </w:tcMar>
          </w:tcPr>
          <w:p>
            <w:r>
              <w:rPr>
                <w:b w:val="false"/>
                <w:bCs w:val="false"/>
                <w:i w:val="false"/>
                <w:iCs w:val="false"/>
              </w:rPr>
              <w:t xml:space="preserve">SOC 2 Type II aligned processes ensuring security and compliance (unchanged)</w:t>
            </w:r>
          </w:p>
        </w:tc>
      </w:tr>
    </w:tbl>
    <w:p>
      <w:pPr>
        <w:spacing w:after="160"/>
      </w:pPr>
      <w:r>
        <w:rPr>
          <w:b w:val="false"/>
          <w:bCs w:val="false"/>
          <w:i w:val="false"/>
          <w:iCs w:val="false"/>
        </w:rPr>
        <w:t xml:space="preserve">“Senior-only engineering (no junior bench)” in the first differentiator is sourced from campaigns.md's Common Objections table, which uses exactly this framing (“senior-default staffing, no junior bench”) to answer the “you're more expensive than other offshore shops” objection — reusing approved language, not inventing new positioning.</w:t>
      </w:r>
    </w:p>
    <w:p>
      <w:pPr>
        <w:pStyle w:val="Heading2"/>
        <w:spacing w:after="150" w:before="300"/>
      </w:pPr>
      <w:r>
        <w:t xml:space="preserve">D. “Our Strategic Capabilities” — AI Integration 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“AI Integration (LLMs &amp; Automation) — Embedding intelligence into your product core—from custom Generative AI and Large Language Model (LLM) integrations to complex workflow automation.”</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“AI-Assisted Engineering — Using AI tooling across your build's full lifecycle, from code generation to automated testing, to cut delivery time without cutting quality. Where your roadmap calls for AI or automation features in the product itself, we scope that openly against your actual data and use case — never oversold.”</w:t>
            </w:r>
          </w:p>
        </w:tc>
      </w:tr>
    </w:tbl>
    <w:p>
      <w:pPr>
        <w:spacing w:after="240" w:before="80"/>
      </w:pPr>
      <w:r>
        <w:rPr>
          <w:b/>
          <w:bCs/>
          <w:color w:val="0B7DC4"/>
        </w:rPr>
        <w:t xml:space="preserve">Why: </w:t>
      </w:r>
      <w:r>
        <w:t xml:space="preserve">This is the audit's P0 finding: the current card promises shipped “custom Generative AI and LLM integrations,” which context/services.md states explicitly has no documented client case study and which policies/claims-and-compliance.md §5 instructs the team not to lead with. The rewrite keeps AI content on the page (nothing is removed from the topic) but moves the claim to what's actually proven — AI-assisted delivery — and converts the honest-scoping caution in services.md (“internal policy is to say so openly rather than oversell”) into the differentiator itself, which services.md separately lists as a genuine competitive advantage (“Honest AI scoping... builds credibility against firms overstating AI portfolios”).</w:t>
      </w:r>
    </w:p>
    <w:p>
      <w:pPr>
        <w:spacing w:after="160"/>
      </w:pPr>
      <w:r>
        <w:rPr>
          <w:b w:val="false"/>
          <w:bCs w:val="false"/>
          <w:i w:val="false"/>
          <w:iCs w:val="false"/>
        </w:rPr>
        <w:t xml:space="preserve">Keep unchanged: “SaaS Platform Development,” “Data-Driven Systems,” and “API-First Architectures” cards — all three describe documented, approved capabilities and were not flagged as overclaims in the audit.</w:t>
      </w:r>
    </w:p>
    <w:p>
      <w:pPr>
        <w:pStyle w:val="Heading2"/>
        <w:spacing w:after="150" w:before="300"/>
      </w:pPr>
      <w:r>
        <w:t xml:space="preserve">E. “AI Across the Development Lifecycle: 40% Faster Delivery”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“Zediant is an AI-First engineering firm. We leverage a proprietary AI-augmented workflow that allows our teams to bypass traditional development bottlenecks. This ensures a 30%–40% faster time-to-market while maintaining a superior standard of code quality.”</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“Our engineering data shows a company-reported 30–40% faster time-to-market on AI-assisted engagements, achieved through an AI-augmented workflow built into every stage of the build — not by cutting corners on quality:”</w:t>
            </w:r>
          </w:p>
        </w:tc>
      </w:tr>
    </w:tbl>
    <w:p>
      <w:pPr>
        <w:spacing w:after="240" w:before="80"/>
      </w:pPr>
      <w:r>
        <w:rPr>
          <w:b/>
          <w:bCs/>
          <w:color w:val="0B7DC4"/>
        </w:rPr>
        <w:t xml:space="preserve">Why: </w:t>
      </w:r>
      <w:r>
        <w:t xml:space="preserve">Removes “AI-First engineering firm” — a direct self-identification as an AI company that contradicts services.md's mandatory scoping rule — and attributes the 30–40% figure as company-reported, per company.md's own instruction (“these figures are self-reported and not independently audited... attribute them as company-stated”) and policies/claims-and-compliance.md's CONFIRMED/LIKELY framework. The figure itself is unchanged and unremoved, per the original task's explicit instruction not to remove it.</w:t>
      </w:r>
    </w:p>
    <w:p>
      <w:pPr>
        <w:spacing w:after="160"/>
      </w:pPr>
      <w:r>
        <w:rPr>
          <w:b w:val="false"/>
          <w:bCs w:val="false"/>
          <w:i w:val="false"/>
          <w:iCs w:val="false"/>
        </w:rPr>
        <w:t xml:space="preserve">Keep unchanged: the four practice cards (Code Acceleration, Testing Automation, Smart Debugging, Knowledge Generation) — these are the page's strongest, most concrete content and were not flagged for any change.</w:t>
      </w:r>
    </w:p>
    <w:p>
      <w:pPr>
        <w:pStyle w:val="Heading2"/>
        <w:spacing w:after="150" w:before="300"/>
      </w:pPr>
      <w:r>
        <w:t xml:space="preserve">F. Mid-page CTA banner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Eyebrow: “Code the Future of Your Business”
Headline: “Ready to Engineer Your Competitive Advantage?”
Subcopy: “Partner with an engineering firm that understands the balance between high-velocity AI innovation and enterprise-grade security.”
CTA: “Build Your AI-Enabled Platform Today”</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Eyebrow: “Close the Gap”
Headline: “Ready to Match Your Engineering Capacity to Your Roadmap?”
Subcopy: “Partner with senior product engineers who start in days, not months — and who use AI to move faster, not to replace proof.”
CTA: “Book a Strategy Session”</w:t>
            </w:r>
          </w:p>
        </w:tc>
      </w:tr>
    </w:tbl>
    <w:p>
      <w:pPr>
        <w:spacing w:after="240" w:before="80"/>
      </w:pPr>
      <w:r>
        <w:rPr>
          <w:b/>
          <w:bCs/>
          <w:color w:val="0B7DC4"/>
        </w:rPr>
        <w:t xml:space="preserve">Why: </w:t>
      </w:r>
      <w:r>
        <w:t xml:space="preserve">Ties the mid-page reinforcement moment back to the roadmap-vs-headcount framing (rather than the more generic “competitive advantage” language) and standardizes the CTA to match the hero, closing the “three different CTA phrasings on one page” finding from the audit's Section 14.</w:t>
      </w:r>
    </w:p>
    <w:p>
      <w:pPr>
        <w:pStyle w:val="Heading2"/>
        <w:spacing w:after="150" w:before="300"/>
      </w:pPr>
      <w:r>
        <w:t xml:space="preserve">G. “Solutions for Industry DNA”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Intro: “Our footprint spans the most demanding sectors in the APAC region. We bring the specialized knowledge required to navigate the regulatory and technical hurdles of:”
Card — Enterprise Platforms: “Delivering mission-critical internal systems for PLCs and global brands”</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Intro: “Our footprint spans Australia, UAE, and India, and we bring the specialized knowledge required to navigate the regulatory and technical hurdles of:”
Card — Enterprise Platforms: “Delivering mission-critical internal systems for scaling product companies and global brands”</w:t>
            </w:r>
          </w:p>
        </w:tc>
      </w:tr>
    </w:tbl>
    <w:p>
      <w:pPr>
        <w:spacing w:after="240" w:before="80"/>
      </w:pPr>
      <w:r>
        <w:rPr>
          <w:b/>
          <w:bCs/>
          <w:color w:val="0B7DC4"/>
        </w:rPr>
        <w:t xml:space="preserve">Why: </w:t>
      </w:r>
      <w:r>
        <w:t xml:space="preserve">Fixes the geography error (UAE is not part of APAC — the page's own stated footprint is Australia/UAE/India) and removes “PLCs” (Public Limited Companies), a narrow audience descriptor unsupported by this service's own documented ICP (10–200 employees, Seed–Series B, per services.md) and already flagged as a positioning problem when it appears on the Enterprise Custom Development page as well.</w:t>
      </w:r>
    </w:p>
    <w:p>
      <w:pPr>
        <w:spacing w:after="160"/>
      </w:pPr>
      <w:r>
        <w:rPr>
          <w:b w:val="false"/>
          <w:bCs w:val="false"/>
          <w:i w:val="false"/>
          <w:iCs w:val="false"/>
        </w:rPr>
        <w:t xml:space="preserve">Keep unchanged: Automotive, SaaS, and Fintech &amp; Payments cards, and their icons/copy — none were flagged.</w:t>
      </w:r>
    </w:p>
    <w:p>
      <w:pPr>
        <w:pStyle w:val="Heading2"/>
        <w:spacing w:after="150" w:before="300"/>
      </w:pPr>
      <w:r>
        <w:t xml:space="preserve">H. “Enterprise-Grade Security: The Non-Negotiable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SOC 2 pillar body copy: “Unlike standard offshore firms, our entire ecosystem is externally audited to guarantee maximum security and confidentiality.”</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“Our engineering practices align with SOC 2 Type II requirements, giving you audited processes for data protection and operational integrity throughout delivery.”</w:t>
            </w:r>
          </w:p>
        </w:tc>
      </w:tr>
    </w:tbl>
    <w:p>
      <w:pPr>
        <w:spacing w:after="240" w:before="80"/>
      </w:pPr>
      <w:r>
        <w:rPr>
          <w:b/>
          <w:bCs/>
          <w:color w:val="0B7DC4"/>
        </w:rPr>
        <w:t xml:space="preserve">Why: </w:t>
      </w:r>
      <w:r>
        <w:t xml:space="preserve">Removes the absolute “guarantee maximum security” claim and the disparaging, imprecise “unlike standard offshore firms” comparison. The replacement reuses the exact, already-approved wording from the Homepage's own SOC 2 pillar (“Our security practices align with SOC 2 Type II requirements, helping protect systems, data, and client information”), so this page's security claim matches the site's most careful existing version word-for-word rather than introducing new phrasing.</w:t>
      </w:r>
    </w:p>
    <w:p>
      <w:pPr>
        <w:spacing w:after="160"/>
      </w:pPr>
      <w:r>
        <w:rPr>
          <w:b w:val="false"/>
          <w:bCs w:val="false"/>
          <w:i w:val="false"/>
          <w:iCs w:val="false"/>
        </w:rPr>
        <w:t xml:space="preserve">Keep unchanged: the “Six Pillars of Trust” structure and the other five pillars (Secure SDLC, Advanced Data Protection, Role-Based Access, Global Compliance, AI-Driven Monitoring) — none were flagged, and the “SOC 2 Type II Aligned” wording used throughout the rest of this section is already correct and should not change.</w:t>
      </w:r>
    </w:p>
    <w:p>
      <w:pPr>
        <w:pStyle w:val="Heading2"/>
        <w:spacing w:after="150" w:before="300"/>
      </w:pPr>
      <w:r>
        <w:t xml:space="preserve">I. “Why It Matters” and closing CTA banner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F2DCDB" w:val="clear"/>
            <w:tcMar>
              <w:top w:type="dxa" w:w="60"/>
              <w:left w:type="dxa" w:w="100"/>
              <w:bottom w:type="dxa" w:w="60"/>
              <w:right w:type="dxa" w:w="100"/>
            </w:tcMar>
          </w:tcPr>
          <w:p>
            <w:r>
              <w:rPr>
                <w:b/>
                <w:bCs/>
                <w:i w:val="false"/>
                <w:iCs w:val="false"/>
              </w:rPr>
              <w:t xml:space="preserve">CURRENT</w:t>
            </w:r>
          </w:p>
        </w:tc>
        <w:tc>
          <w:tcPr>
            <w:tcW w:type="dxa" w:w="7450"/>
            <w:tcMar>
              <w:top w:type="dxa" w:w="60"/>
              <w:left w:type="dxa" w:w="100"/>
              <w:bottom w:type="dxa" w:w="60"/>
              <w:right w:type="dxa" w:w="100"/>
            </w:tcMar>
          </w:tcPr>
          <w:p>
            <w:r>
              <w:rPr>
                <w:b w:val="false"/>
                <w:bCs w:val="false"/>
                <w:i/>
                <w:iCs/>
              </w:rPr>
              <w:t xml:space="preserve">“Why It Matters” body: “By aligning with SOC 2 Type II standards, Zediant removes the ‘offshore risk.’ We provide the verified governance and peace of mind that allows global enterprises to focus on innovation while we protect their digital assets.”
Closing CTA banner: “We've passed the toughest security audit, proving our system is like Fort Knox for your data.”</w:t>
            </w:r>
          </w:p>
        </w:tc>
      </w:tr>
      <w:tr>
        <w:tc>
          <w:tcPr>
            <w:tcW w:type="dxa" w:w="1900"/>
            <w:shd w:fill="E2EFDA" w:val="clear"/>
            <w:tcMar>
              <w:top w:type="dxa" w:w="60"/>
              <w:left w:type="dxa" w:w="100"/>
              <w:bottom w:type="dxa" w:w="60"/>
              <w:right w:type="dxa" w:w="100"/>
            </w:tcMar>
          </w:tcPr>
          <w:p>
            <w:r>
              <w:rPr>
                <w:b/>
                <w:bCs/>
                <w:i w:val="false"/>
                <w:iCs w:val="false"/>
              </w:rPr>
              <w:t xml:space="preserve">PROPOSED</w:t>
            </w:r>
          </w:p>
        </w:tc>
        <w:tc>
          <w:tcPr>
            <w:tcW w:type="dxa" w:w="7450"/>
            <w:tcMar>
              <w:top w:type="dxa" w:w="60"/>
              <w:left w:type="dxa" w:w="100"/>
              <w:bottom w:type="dxa" w:w="60"/>
              <w:right w:type="dxa" w:w="100"/>
            </w:tcMar>
          </w:tcPr>
          <w:p>
            <w:r>
              <w:rPr>
                <w:b w:val="false"/>
                <w:bCs w:val="false"/>
                <w:i w:val="false"/>
                <w:iCs w:val="false"/>
              </w:rPr>
              <w:t xml:space="preserve">“Why It Matters” body: “SOC 2 Type II alignment means your security and legal teams get documented, auditable engineering practices from day one — not a promise to figure it out later.”
Closing CTA banner: “Zediant is a SOC 2 Type II aligned partner — audited security practices built into every engagement, from the first sprint.”</w:t>
            </w:r>
          </w:p>
        </w:tc>
      </w:tr>
    </w:tbl>
    <w:p>
      <w:pPr>
        <w:spacing w:after="240" w:before="80"/>
      </w:pPr>
      <w:r>
        <w:rPr>
          <w:b/>
          <w:bCs/>
          <w:color w:val="0B7DC4"/>
        </w:rPr>
        <w:t xml:space="preserve">Why: </w:t>
      </w:r>
      <w:r>
        <w:t xml:space="preserve">Removes two more instances of unqualified, hyperbolic claims (“offshore risk” framing that oddly disparages a category Zediant's own delivery model sits within; “Fort Knox” and “the toughest security audit,” which is both hyperbolic and unattributable — no source in this project documents which audit is meant). Both replacements keep the underlying point (SOC2 alignment reduces buyer risk) using only the already-approved “SOC 2 Type II aligned” language.</w:t>
      </w:r>
    </w:p>
    <w:p>
      <w:pPr>
        <w:pStyle w:val="Heading2"/>
        <w:spacing w:after="150" w:before="300"/>
      </w:pPr>
      <w:r>
        <w:t xml:space="preserve">J. NEW SECTION — “How We Work With You” (insert after the AI-lifecycle section, before the mid-page CTA banner)</w:t>
      </w:r>
    </w:p>
    <w:p>
      <w:pPr>
        <w:shd w:fill="1B6E2A" w:val="clear"/>
        <w:spacing w:after="60" w:before="100"/>
      </w:pPr>
      <w:r>
        <w:rPr>
          <w:b/>
          <w:bCs/>
          <w:color w:val="FFFFFF"/>
        </w:rPr>
        <w:t xml:space="preserve">NEW SECTION</w:t>
      </w:r>
    </w:p>
    <w:p>
      <w:pPr>
        <w:spacing w:after="160"/>
      </w:pPr>
      <w:r>
        <w:rPr>
          <w:b w:val="false"/>
          <w:bCs w:val="false"/>
          <w:i w:val="false"/>
          <w:iCs w:val="false"/>
        </w:rPr>
        <w:t xml:space="preserve">This section does not exist on the live page today. The audit (Section 4, Section 7) flags this as the biggest structural gap relative to Dedicated Engineering, which is the one service page that already answers “what does working together look like.” This proposal deliberately does not copy Dedicated Engineering's named Pod tiers (Foundation/Growth/Enterprise) — those are that page's own IP — and instead builds a simpler, three-stage model directly from services.md's own documented Typical Project Duration and Engagement Models tables for this specific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2000"/>
        <w:gridCol w:w="1350"/>
      </w:tblGrid>
      <w:tr>
        <w:trPr>
          <w:tblHeader/>
        </w:trPr>
        <w:tc>
          <w:tcPr>
            <w:tcW w:type="dxa" w:w="2100"/>
            <w:shd w:fill="1F3864" w:val="clear"/>
            <w:tcMar>
              <w:top w:type="dxa" w:w="60"/>
              <w:left w:type="dxa" w:w="100"/>
              <w:bottom w:type="dxa" w:w="60"/>
              <w:right w:type="dxa" w:w="100"/>
            </w:tcMar>
          </w:tcPr>
          <w:p>
            <w:r>
              <w:rPr>
                <w:b/>
                <w:bCs/>
                <w:i w:val="false"/>
                <w:iCs w:val="false"/>
                <w:color w:val="FFFFFF"/>
              </w:rPr>
              <w:t xml:space="preserve">Stage</w:t>
            </w:r>
          </w:p>
        </w:tc>
        <w:tc>
          <w:tcPr>
            <w:tcW w:type="dxa" w:w="3900"/>
            <w:shd w:fill="1F3864" w:val="clear"/>
            <w:tcMar>
              <w:top w:type="dxa" w:w="60"/>
              <w:left w:type="dxa" w:w="100"/>
              <w:bottom w:type="dxa" w:w="60"/>
              <w:right w:type="dxa" w:w="100"/>
            </w:tcMar>
          </w:tcPr>
          <w:p>
            <w:r>
              <w:rPr>
                <w:b/>
                <w:bCs/>
                <w:i w:val="false"/>
                <w:iCs w:val="false"/>
                <w:color w:val="FFFFFF"/>
              </w:rPr>
              <w:t xml:space="preserve">What it covers</w:t>
            </w:r>
          </w:p>
        </w:tc>
        <w:tc>
          <w:tcPr>
            <w:tcW w:type="dxa" w:w="2000"/>
            <w:shd w:fill="1F3864" w:val="clear"/>
            <w:tcMar>
              <w:top w:type="dxa" w:w="60"/>
              <w:left w:type="dxa" w:w="100"/>
              <w:bottom w:type="dxa" w:w="60"/>
              <w:right w:type="dxa" w:w="100"/>
            </w:tcMar>
          </w:tcPr>
          <w:p>
            <w:r>
              <w:rPr>
                <w:b/>
                <w:bCs/>
                <w:i w:val="false"/>
                <w:iCs w:val="false"/>
                <w:color w:val="FFFFFF"/>
              </w:rPr>
              <w:t xml:space="preserve">Typical duration (source: services.md)</w:t>
            </w:r>
          </w:p>
        </w:tc>
        <w:tc>
          <w:tcPr>
            <w:tcW w:type="dxa" w:w="1350"/>
            <w:shd w:fill="1F3864" w:val="clear"/>
            <w:tcMar>
              <w:top w:type="dxa" w:w="60"/>
              <w:left w:type="dxa" w:w="100"/>
              <w:bottom w:type="dxa" w:w="60"/>
              <w:right w:type="dxa" w:w="100"/>
            </w:tcMar>
          </w:tcPr>
          <w:p>
            <w:r>
              <w:rPr>
                <w:b/>
                <w:bCs/>
                <w:i w:val="false"/>
                <w:iCs w:val="false"/>
                <w:color w:val="FFFFFF"/>
              </w:rPr>
              <w:t xml:space="preserve">Engagement model</w:t>
            </w:r>
          </w:p>
        </w:tc>
      </w:tr>
      <w:tr>
        <w:tc>
          <w:tcPr>
            <w:tcW w:type="dxa" w:w="2100"/>
            <w:tcMar>
              <w:top w:type="dxa" w:w="60"/>
              <w:left w:type="dxa" w:w="100"/>
              <w:bottom w:type="dxa" w:w="60"/>
              <w:right w:type="dxa" w:w="100"/>
            </w:tcMar>
          </w:tcPr>
          <w:p>
            <w:r>
              <w:rPr>
                <w:b w:val="false"/>
                <w:bCs w:val="false"/>
                <w:i w:val="false"/>
                <w:iCs w:val="false"/>
              </w:rPr>
              <w:t xml:space="preserve">Architecture &amp; Discovery</w:t>
            </w:r>
          </w:p>
        </w:tc>
        <w:tc>
          <w:tcPr>
            <w:tcW w:type="dxa" w:w="3900"/>
            <w:tcMar>
              <w:top w:type="dxa" w:w="60"/>
              <w:left w:type="dxa" w:w="100"/>
              <w:bottom w:type="dxa" w:w="60"/>
              <w:right w:type="dxa" w:w="100"/>
            </w:tcMar>
          </w:tcPr>
          <w:p>
            <w:r>
              <w:rPr>
                <w:b w:val="false"/>
                <w:bCs w:val="false"/>
                <w:i w:val="false"/>
                <w:iCs w:val="false"/>
              </w:rPr>
              <w:t xml:space="preserve">Validate the architecture against your scale requirements before a single line of production code is written.</w:t>
            </w:r>
          </w:p>
        </w:tc>
        <w:tc>
          <w:tcPr>
            <w:tcW w:type="dxa" w:w="2000"/>
            <w:tcMar>
              <w:top w:type="dxa" w:w="60"/>
              <w:left w:type="dxa" w:w="100"/>
              <w:bottom w:type="dxa" w:w="60"/>
              <w:right w:type="dxa" w:w="100"/>
            </w:tcMar>
          </w:tcPr>
          <w:p>
            <w:r>
              <w:rPr>
                <w:b w:val="false"/>
                <w:bCs w:val="false"/>
                <w:i w:val="false"/>
                <w:iCs w:val="false"/>
              </w:rPr>
              <w:t xml:space="preserve">4–6 weeks (POC)</w:t>
            </w:r>
          </w:p>
        </w:tc>
        <w:tc>
          <w:tcPr>
            <w:tcW w:type="dxa" w:w="1350"/>
            <w:tcMar>
              <w:top w:type="dxa" w:w="60"/>
              <w:left w:type="dxa" w:w="100"/>
              <w:bottom w:type="dxa" w:w="60"/>
              <w:right w:type="dxa" w:w="100"/>
            </w:tcMar>
          </w:tcPr>
          <w:p>
            <w:r>
              <w:rPr>
                <w:b w:val="false"/>
                <w:bCs w:val="false"/>
                <w:i w:val="false"/>
                <w:iCs w:val="false"/>
              </w:rPr>
              <w:t xml:space="preserve">Consulting</w:t>
            </w:r>
          </w:p>
        </w:tc>
      </w:tr>
      <w:tr>
        <w:tc>
          <w:tcPr>
            <w:tcW w:type="dxa" w:w="2100"/>
            <w:tcMar>
              <w:top w:type="dxa" w:w="60"/>
              <w:left w:type="dxa" w:w="100"/>
              <w:bottom w:type="dxa" w:w="60"/>
              <w:right w:type="dxa" w:w="100"/>
            </w:tcMar>
          </w:tcPr>
          <w:p>
            <w:r>
              <w:rPr>
                <w:b w:val="false"/>
                <w:bCs w:val="false"/>
                <w:i w:val="false"/>
                <w:iCs w:val="false"/>
              </w:rPr>
              <w:t xml:space="preserve">Build</w:t>
            </w:r>
          </w:p>
        </w:tc>
        <w:tc>
          <w:tcPr>
            <w:tcW w:type="dxa" w:w="3900"/>
            <w:tcMar>
              <w:top w:type="dxa" w:w="60"/>
              <w:left w:type="dxa" w:w="100"/>
              <w:bottom w:type="dxa" w:w="60"/>
              <w:right w:type="dxa" w:w="100"/>
            </w:tcMar>
          </w:tcPr>
          <w:p>
            <w:r>
              <w:rPr>
                <w:b w:val="false"/>
                <w:bCs w:val="false"/>
                <w:i w:val="false"/>
                <w:iCs w:val="false"/>
              </w:rPr>
              <w:t xml:space="preserve">MVP through to a production-ready release, staffed as a senior team working inside your sprints.</w:t>
            </w:r>
          </w:p>
        </w:tc>
        <w:tc>
          <w:tcPr>
            <w:tcW w:type="dxa" w:w="2000"/>
            <w:tcMar>
              <w:top w:type="dxa" w:w="60"/>
              <w:left w:type="dxa" w:w="100"/>
              <w:bottom w:type="dxa" w:w="60"/>
              <w:right w:type="dxa" w:w="100"/>
            </w:tcMar>
          </w:tcPr>
          <w:p>
            <w:r>
              <w:rPr>
                <w:b w:val="false"/>
                <w:bCs w:val="false"/>
                <w:i w:val="false"/>
                <w:iCs w:val="false"/>
              </w:rPr>
              <w:t xml:space="preserve">3–12 months (MVP → Production)</w:t>
            </w:r>
          </w:p>
        </w:tc>
        <w:tc>
          <w:tcPr>
            <w:tcW w:type="dxa" w:w="1350"/>
            <w:tcMar>
              <w:top w:type="dxa" w:w="60"/>
              <w:left w:type="dxa" w:w="100"/>
              <w:bottom w:type="dxa" w:w="60"/>
              <w:right w:type="dxa" w:w="100"/>
            </w:tcMar>
          </w:tcPr>
          <w:p>
            <w:r>
              <w:rPr>
                <w:b w:val="false"/>
                <w:bCs w:val="false"/>
                <w:i w:val="false"/>
                <w:iCs w:val="false"/>
              </w:rPr>
              <w:t xml:space="preserve">Dedicated Team or Time &amp; Material</w:t>
            </w:r>
          </w:p>
        </w:tc>
      </w:tr>
      <w:tr>
        <w:tc>
          <w:tcPr>
            <w:tcW w:type="dxa" w:w="2100"/>
            <w:tcMar>
              <w:top w:type="dxa" w:w="60"/>
              <w:left w:type="dxa" w:w="100"/>
              <w:bottom w:type="dxa" w:w="60"/>
              <w:right w:type="dxa" w:w="100"/>
            </w:tcMar>
          </w:tcPr>
          <w:p>
            <w:r>
              <w:rPr>
                <w:b w:val="false"/>
                <w:bCs w:val="false"/>
                <w:i w:val="false"/>
                <w:iCs w:val="false"/>
              </w:rPr>
              <w:t xml:space="preserve">Scale</w:t>
            </w:r>
          </w:p>
        </w:tc>
        <w:tc>
          <w:tcPr>
            <w:tcW w:type="dxa" w:w="3900"/>
            <w:tcMar>
              <w:top w:type="dxa" w:w="60"/>
              <w:left w:type="dxa" w:w="100"/>
              <w:bottom w:type="dxa" w:w="60"/>
              <w:right w:type="dxa" w:w="100"/>
            </w:tcMar>
          </w:tcPr>
          <w:p>
            <w:r>
              <w:rPr>
                <w:b w:val="false"/>
                <w:bCs w:val="false"/>
                <w:i w:val="false"/>
                <w:iCs w:val="false"/>
              </w:rPr>
              <w:t xml:space="preserve">Ongoing feature delivery and platform evolution once you're live.</w:t>
            </w:r>
          </w:p>
        </w:tc>
        <w:tc>
          <w:tcPr>
            <w:tcW w:type="dxa" w:w="2000"/>
            <w:tcMar>
              <w:top w:type="dxa" w:w="60"/>
              <w:left w:type="dxa" w:w="100"/>
              <w:bottom w:type="dxa" w:w="60"/>
              <w:right w:type="dxa" w:w="100"/>
            </w:tcMar>
          </w:tcPr>
          <w:p>
            <w:r>
              <w:rPr>
                <w:b w:val="false"/>
                <w:bCs w:val="false"/>
                <w:i w:val="false"/>
                <w:iCs w:val="false"/>
              </w:rPr>
              <w:t xml:space="preserve">6+ months, ongoing</w:t>
            </w:r>
          </w:p>
        </w:tc>
        <w:tc>
          <w:tcPr>
            <w:tcW w:type="dxa" w:w="1350"/>
            <w:tcMar>
              <w:top w:type="dxa" w:w="60"/>
              <w:left w:type="dxa" w:w="100"/>
              <w:bottom w:type="dxa" w:w="60"/>
              <w:right w:type="dxa" w:w="100"/>
            </w:tcMar>
          </w:tcPr>
          <w:p>
            <w:r>
              <w:rPr>
                <w:b w:val="false"/>
                <w:bCs w:val="false"/>
                <w:i w:val="false"/>
                <w:iCs w:val="false"/>
              </w:rPr>
              <w:t xml:space="preserve">Dedicated Team, or transition to Dedicated Engineering Pods for ongoing capacity</w:t>
            </w:r>
          </w:p>
        </w:tc>
      </w:tr>
    </w:tbl>
    <w:p>
      <w:pPr>
        <w:spacing w:after="160"/>
      </w:pPr>
      <w:r>
        <w:rPr>
          <w:b w:val="false"/>
          <w:bCs w:val="false"/>
          <w:i w:val="false"/>
          <w:iCs w:val="false"/>
        </w:rPr>
        <w:t xml:space="preserve">Proposed intro line: “Every engagement starts with architecture, not a contract. Here's what that looks like:”. Proposed closing line, functioning as an internal cross-sell already documented in services.md's own “Cross Selling Opportunities” for this service: “Once you're live, many clients move into Dedicated Engineering Pods for ongoing capacity — same senior team, same standards, no re-onboarding.”</w:t>
      </w:r>
    </w:p>
    <w:p>
      <w:pPr>
        <w:pStyle w:val="Heading2"/>
        <w:spacing w:after="150" w:before="300"/>
      </w:pPr>
      <w:r>
        <w:t xml:space="preserve">K. CONDITIONAL NEW SECTION — Case Study Spotlight (insert after “How We Work With You,” before “Solutions for Industry DNA”)</w:t>
      </w:r>
    </w:p>
    <w:p>
      <w:pPr>
        <w:shd w:fill="C00000" w:val="clear"/>
        <w:spacing w:after="60" w:before="100"/>
      </w:pPr>
      <w:r>
        <w:rPr>
          <w:b/>
          <w:bCs/>
          <w:color w:val="FFFFFF"/>
        </w:rPr>
        <w:t xml:space="preserve">NEW SECTION — BLOCKED PENDING APPROVAL</w:t>
      </w:r>
    </w:p>
    <w:p>
      <w:pPr>
        <w:spacing w:after="160"/>
      </w:pPr>
      <w:r>
        <w:rPr>
          <w:b w:val="false"/>
          <w:bCs w:val="false"/>
          <w:i w:val="false"/>
          <w:iCs w:val="false"/>
        </w:rPr>
        <w:t xml:space="preserve">Per Section 2 above, this section cannot ship with a named case study today: C1 has no approved case study, and every case study on file is marked External Use Approval: HUMAN APPROVAL REQUIRED. Two paths forward:</w:t>
      </w:r>
    </w:p>
    <w:p>
      <w:pPr>
        <w:pStyle w:val="ListParagraph"/>
        <w:numPr>
          <w:ilvl w:val="0"/>
          <w:numId w:val="1"/>
        </w:numPr>
        <w:spacing w:after="60"/>
      </w:pPr>
      <w:r>
        <w:t xml:space="preserve">Path A (recommended): request explicit human/marketing approval to use CS-02 (Wholesale Parts CRM) as general product-delivery evidence on this page — services.md already names CS-02 as citable for C1 in this limited way. If approved, use only the copy below, which restates case_studies.md's documented facts exactly, with zero AI claim attached (consistent with the guardrail that this case study “does not evidence AI-embedded product delivery”).</w:t>
      </w:r>
    </w:p>
    <w:p>
      <w:pPr>
        <w:pStyle w:val="ListParagraph"/>
        <w:numPr>
          <w:ilvl w:val="0"/>
          <w:numId w:val="1"/>
        </w:numPr>
        <w:spacing w:after="60"/>
      </w:pPr>
      <w:r>
        <w:t xml:space="preserve">Path B: ship the page without a case-study section for now, and revisit once a genuinely C1-evidenced engagement exists and clears external-use approval — this keeps the page honest rather than stretching an approved-for-other-purposes case study to fit.</w:t>
      </w:r>
    </w:p>
    <w:p>
      <w:pPr>
        <w:spacing w:after="160"/>
      </w:pPr>
      <w:r>
        <w:rPr>
          <w:b w:val="false"/>
          <w:bCs w:val="false"/>
          <w:i w:val="false"/>
          <w:iCs w:val="false"/>
        </w:rPr>
        <w:t xml:space="preserve">Draft copy for Path A, for review only — do not publish until Section 10's approval item is resolved:</w:t>
      </w:r>
    </w:p>
    <w:p>
      <w:pPr>
        <w:spacing w:after="100"/>
        <w:ind w:left="300"/>
      </w:pPr>
      <w:r>
        <w:rPr>
          <w:i/>
          <w:iCs/>
        </w:rPr>
        <w:t xml:space="preserve">“We've built product platforms like this before. For a global automotive SaaS/DaaS provider, we built a custom CRM, middleware, and analytics/reporting layer from scratch — now used by 50+ dealers across ASPAC serving 5,700 customers.”</w:t>
      </w:r>
    </w:p>
    <w:p>
      <w:pPr>
        <w:spacing w:after="160"/>
      </w:pPr>
      <w:r>
        <w:rPr>
          <w:b w:val="false"/>
          <w:bCs w:val="false"/>
          <w:i w:val="false"/>
          <w:iCs w:val="false"/>
        </w:rPr>
        <w:t xml:space="preserve">Every fact in that draft (50+ dealers, 5,700 customers, ASPAC, custom CRM + middleware + reporting) is quoted directly from context/case_studies.md's CS-02 entry with no rounding, embellishment, or added metric — consistent with policies/claims-and-compliance.md §8's “use the documented metric exactly” instruction. Note also the CS-02/CS-06 restriction on file: CS-02 and CS-06 represent the same underlying customer and must never both be used as separate proof points in the same context — this page should use CS-02 only, not both.</w:t>
      </w:r>
    </w:p>
    <w:p>
      <w:pPr>
        <w:pStyle w:val="Heading2"/>
        <w:spacing w:after="150" w:before="300"/>
      </w:pPr>
      <w:r>
        <w:t xml:space="preserve">L. NEW SECTION — FAQ (insert after “Global Engineering Presence,” before the closing CTA/contact form)</w:t>
      </w:r>
    </w:p>
    <w:p>
      <w:pPr>
        <w:shd w:fill="1B6E2A" w:val="clear"/>
        <w:spacing w:after="60" w:before="100"/>
      </w:pPr>
      <w:r>
        <w:rPr>
          <w:b/>
          <w:bCs/>
          <w:color w:val="FFFFFF"/>
        </w:rPr>
        <w:t xml:space="preserve">NEW SECTION</w:t>
      </w:r>
    </w:p>
    <w:p>
      <w:pPr>
        <w:spacing w:after="160"/>
      </w:pPr>
      <w:r>
        <w:rPr>
          <w:b w:val="false"/>
          <w:bCs w:val="false"/>
          <w:i w:val="false"/>
          <w:iCs w:val="false"/>
        </w:rPr>
        <w:t xml:space="preserve">Addresses the audit's single most important unanswered buyer question directly, plus three more drawn from services.md's own discovery-question list and campaigns.md's Common Objections table — reused, approved language, not new claims.</w:t>
      </w:r>
    </w:p>
    <w:p>
      <w:pPr>
        <w:pStyle w:val="Heading3"/>
        <w:spacing w:after="100" w:before="200"/>
      </w:pPr>
      <w:r>
        <w:t xml:space="preserve">Q: Will you build AI features into my product, or use AI to build my product faster?</w:t>
      </w:r>
    </w:p>
    <w:p>
      <w:pPr>
        <w:spacing w:after="160"/>
      </w:pPr>
      <w:r>
        <w:rPr>
          <w:b w:val="false"/>
          <w:bCs w:val="false"/>
          <w:i w:val="false"/>
          <w:iCs w:val="false"/>
        </w:rPr>
        <w:t xml:space="preserve">A: “Both are possible, and we'll tell you plainly which one applies to you. Our proven, documented capability is AI-assisted delivery — using AI tooling across the SDLC to build your product faster without cutting quality. If your roadmap needs AI or LLM features built into the product itself, we scope that openly, based on your actual data and use case, rather than assuming it's a given.”</w:t>
      </w:r>
    </w:p>
    <w:p>
      <w:pPr>
        <w:pStyle w:val="Heading3"/>
        <w:spacing w:after="100" w:before="200"/>
      </w:pPr>
      <w:r>
        <w:t xml:space="preserve">Q: How fast can you actually start?</w:t>
      </w:r>
    </w:p>
    <w:p>
      <w:pPr>
        <w:spacing w:after="160"/>
      </w:pPr>
      <w:r>
        <w:rPr>
          <w:b w:val="false"/>
          <w:bCs w:val="false"/>
          <w:i w:val="false"/>
          <w:iCs w:val="false"/>
        </w:rPr>
        <w:t xml:space="preserve">A: “Typically 5–10 days, versus a multi-month local senior-hiring cycle — see ‘How We Work With You’ above for what the first few weeks look like.” (Source: campaigns.md value proposition.)</w:t>
      </w:r>
    </w:p>
    <w:p>
      <w:pPr>
        <w:pStyle w:val="Heading3"/>
        <w:spacing w:after="100" w:before="200"/>
      </w:pPr>
      <w:r>
        <w:t xml:space="preserve">Q: Are you SOC 2 certified?</w:t>
      </w:r>
    </w:p>
    <w:p>
      <w:pPr>
        <w:spacing w:after="160"/>
      </w:pPr>
      <w:r>
        <w:rPr>
          <w:b w:val="false"/>
          <w:bCs w:val="false"/>
          <w:i w:val="false"/>
          <w:iCs w:val="false"/>
        </w:rPr>
        <w:t xml:space="preserve">A: “We are SOC 2 Type II aligned — our engineering practices are built around SOC 2 Type II requirements. If you need our full attestation documentation for a vendor security review, ask your Zediant contact and we'll walk you through what's available.” (Source: policies/claims-and-compliance.md §6 — ‘aligned,’ never ‘certified,’ with a documented escalation path for detailed evidence requests.)</w:t>
      </w:r>
    </w:p>
    <w:p>
      <w:pPr>
        <w:pStyle w:val="Heading3"/>
        <w:spacing w:after="100" w:before="200"/>
      </w:pPr>
      <w:r>
        <w:t xml:space="preserve">Q: What does “senior-only” actually mean?</w:t>
      </w:r>
    </w:p>
    <w:p>
      <w:pPr>
        <w:spacing w:after="160"/>
      </w:pPr>
      <w:r>
        <w:rPr>
          <w:b w:val="false"/>
          <w:bCs w:val="false"/>
          <w:i w:val="false"/>
          <w:iCs w:val="false"/>
        </w:rPr>
        <w:t xml:space="preserve">A: “No junior bench. Every engineer on your engagement works as an extension of your team, inside your stack and your sprints — not a rotating pool of contractors.” (Source: campaigns.md Common Objections table and services.md's ideal-customer framing.)</w:t>
      </w:r>
    </w:p>
    <w:p>
      <w:pPr>
        <w:pStyle w:val="Heading2"/>
        <w:spacing w:after="150" w:before="300"/>
      </w:pPr>
      <w:r>
        <w:t xml:space="preserve">M. Closing contact form</w:t>
      </w:r>
    </w:p>
    <w:p>
      <w:pPr>
        <w:spacing w:after="160"/>
      </w:pPr>
      <w:r>
        <w:rPr>
          <w:b w:val="false"/>
          <w:bCs w:val="false"/>
          <w:i w:val="false"/>
          <w:iCs w:val="false"/>
        </w:rPr>
        <w:t xml:space="preserve">Keep entirely unchanged — fields, consent checkbox, and “Talk to our team” submit button. This was flagged in the audit as a genuinely well-designed, low-friction B2B conversion mechanism; only the copy immediately above it (item I) needed correction.</w:t>
      </w:r>
    </w:p>
    <w:p>
      <w:r>
        <w:br w:type="page"/>
      </w:r>
    </w:p>
    <w:p>
      <w:pPr>
        <w:pStyle w:val="Heading1"/>
        <w:spacing w:after="200" w:before="400"/>
      </w:pPr>
      <w:r>
        <w:t xml:space="preserve">5. Full Clean Draft (Top to Bottom)</w:t>
      </w:r>
    </w:p>
    <w:p>
      <w:pPr>
        <w:spacing w:after="160"/>
      </w:pPr>
      <w:r>
        <w:rPr>
          <w:b w:val="false"/>
          <w:bCs w:val="false"/>
          <w:i w:val="false"/>
          <w:iCs w:val="false"/>
        </w:rPr>
        <w:t xml:space="preserve">For a single continuous read. This assembles every proposed change above, in order, exactly as it would read on the page — minus the Case Study Spotlight, which is held out pending the Section 2/10 approval decision.</w:t>
      </w:r>
    </w:p>
    <w:p>
      <w:pPr>
        <w:pBdr>
          <w:bottom w:val="single" w:color="BFBFBF" w:sz="6" w:space="1"/>
        </w:pBdr>
        <w:spacing w:after="200"/>
      </w:pPr>
    </w:p>
    <w:p>
      <w:pPr>
        <w:spacing w:after="40"/>
      </w:pPr>
      <w:r>
        <w:rPr>
          <w:b/>
          <w:bCs/>
          <w:color w:val="595959"/>
          <w:sz w:val="18"/>
          <w:szCs w:val="18"/>
        </w:rPr>
        <w:t xml:space="preserve">SERVICES / AI-ENABLED PRODUCT ENGINEERING</w:t>
      </w:r>
    </w:p>
    <w:p>
      <w:pPr>
        <w:spacing w:after="100"/>
      </w:pPr>
      <w:r>
        <w:rPr>
          <w:b/>
          <w:bCs/>
          <w:color w:val="1F3864"/>
          <w:sz w:val="30"/>
          <w:szCs w:val="30"/>
        </w:rPr>
        <w:t xml:space="preserve">AI-Enabled Product Engineering for Teams Scaling Faster Than They Can Hire</w:t>
      </w:r>
    </w:p>
    <w:p>
      <w:pPr>
        <w:spacing w:after="160"/>
      </w:pPr>
      <w:r>
        <w:rPr>
          <w:b w:val="false"/>
          <w:bCs w:val="false"/>
          <w:i w:val="false"/>
          <w:iCs w:val="false"/>
        </w:rPr>
        <w:t xml:space="preserve">Senior engineers, working inside your stack and sprints, building and scaling your SaaS or enterprise product — with an AI-assisted delivery methodology mapped to every stage of the build, so you close the gap between your roadmap and your headcount without a multi-month hiring cycle.</w:t>
      </w:r>
    </w:p>
    <w:p>
      <w:pPr>
        <w:spacing w:after="100"/>
      </w:pPr>
      <w:r>
        <w:rPr>
          <w:b/>
          <w:bCs/>
          <w:color w:val="0B7DC4"/>
        </w:rPr>
        <w:t xml:space="preserve">[CTA] Book a Strategy Session</w:t>
      </w:r>
    </w:p>
    <w:p>
      <w:pPr>
        <w:spacing w:after="200"/>
      </w:pPr>
      <w:r>
        <w:rPr>
          <w:b w:val="false"/>
          <w:bCs w:val="false"/>
          <w:i w:val="false"/>
          <w:iCs w:val="false"/>
        </w:rPr>
        <w:t xml:space="preserve">Australia | UAE | India | SOC 2 Type II Aligned</w:t>
      </w:r>
    </w:p>
    <w:p>
      <w:pPr>
        <w:pStyle w:val="Heading3"/>
        <w:spacing w:after="100" w:before="200"/>
      </w:pPr>
      <w:r>
        <w:t xml:space="preserve">When Your Roadmap Outgrows Your Team</w:t>
      </w:r>
    </w:p>
    <w:p>
      <w:pPr>
        <w:spacing w:after="160"/>
      </w:pPr>
      <w:r>
        <w:rPr>
          <w:b w:val="false"/>
          <w:bCs w:val="false"/>
          <w:i w:val="false"/>
          <w:iCs w:val="false"/>
        </w:rPr>
        <w:t xml:space="preserve">You don't need another generic development shop. You need senior engineers who can start in days, not months — because one or more of these is already true:</w:t>
      </w:r>
    </w:p>
    <w:p>
      <w:pPr>
        <w:pStyle w:val="ListParagraph"/>
        <w:numPr>
          <w:ilvl w:val="0"/>
          <w:numId w:val="1"/>
        </w:numPr>
        <w:spacing w:after="60"/>
      </w:pPr>
      <w:r>
        <w:t xml:space="preserve">Your roadmap makes commitments to investors or customers your engineering team can't meet on the current timeline.</w:t>
      </w:r>
    </w:p>
    <w:p>
      <w:pPr>
        <w:pStyle w:val="ListParagraph"/>
        <w:numPr>
          <w:ilvl w:val="0"/>
          <w:numId w:val="1"/>
        </w:numPr>
        <w:spacing w:after="60"/>
      </w:pPr>
      <w:r>
        <w:t xml:space="preserve">The wrong senior hire right now would be expensive and slow to unwind.</w:t>
      </w:r>
    </w:p>
    <w:p>
      <w:pPr>
        <w:pStyle w:val="ListParagraph"/>
        <w:numPr>
          <w:ilvl w:val="0"/>
          <w:numId w:val="1"/>
        </w:numPr>
        <w:spacing w:after="60"/>
      </w:pPr>
      <w:r>
        <w:t xml:space="preserve">Your MVP's architecture wasn't built to scale past your current tenant count.</w:t>
      </w:r>
    </w:p>
    <w:p>
      <w:pPr>
        <w:pStyle w:val="ListParagraph"/>
        <w:numPr>
          <w:ilvl w:val="0"/>
          <w:numId w:val="1"/>
        </w:numPr>
        <w:spacing w:after="60"/>
      </w:pPr>
      <w:r>
        <w:t xml:space="preserve">Competitors better funded than you are shipping features faster.</w:t>
      </w:r>
    </w:p>
    <w:p>
      <w:pPr>
        <w:pStyle w:val="ListParagraph"/>
        <w:numPr>
          <w:ilvl w:val="0"/>
          <w:numId w:val="1"/>
        </w:numPr>
        <w:spacing w:after="60"/>
      </w:pPr>
      <w:r>
        <w:t xml:space="preserve">An enterprise customer is asking for security or compliance requirements you're not staffed to meet.</w:t>
      </w:r>
    </w:p>
    <w:p>
      <w:pPr>
        <w:spacing w:after="200"/>
      </w:pPr>
      <w:r>
        <w:rPr>
          <w:b w:val="false"/>
          <w:bCs w:val="false"/>
          <w:i w:val="false"/>
          <w:iCs w:val="false"/>
        </w:rPr>
        <w:t xml:space="preserve">That's the gap AI-Enabled Product Engineering closes — senior capacity, fast, without the multi-month local hiring cycle.</w:t>
      </w:r>
    </w:p>
    <w:p>
      <w:pPr>
        <w:pStyle w:val="Heading3"/>
        <w:spacing w:after="100" w:before="200"/>
      </w:pPr>
      <w:r>
        <w:t xml:space="preserve">Building Future-Ready Products</w:t>
      </w:r>
    </w:p>
    <w:p>
      <w:pPr>
        <w:spacing w:after="160"/>
      </w:pPr>
      <w:r>
        <w:rPr>
          <w:b w:val="false"/>
          <w:bCs w:val="false"/>
          <w:i w:val="false"/>
          <w:iCs w:val="false"/>
        </w:rPr>
        <w:t xml:space="preserve">Zediant combines senior product engineering expertise with an AI-assisted delivery methodology to build and scale SaaS and enterprise products — not just platforms. We work with funded SaaS companies and high-growth product teams to ship systems built for where you're headed, not just where you are today. Our approach pairs architecture-first thinking with AI-assisted engineering workflows mapped to every stage of the build, so speed never comes at the cost of quality or security.</w:t>
      </w:r>
    </w:p>
    <w:p>
      <w:pPr>
        <w:spacing w:after="60"/>
      </w:pPr>
      <w:r>
        <w:rPr>
          <w:b/>
          <w:bCs/>
          <w:i w:val="false"/>
          <w:iCs w:val="false"/>
        </w:rPr>
        <w:t xml:space="preserve">Key Differentiators:</w:t>
      </w:r>
    </w:p>
    <w:p>
      <w:pPr>
        <w:pStyle w:val="ListParagraph"/>
        <w:numPr>
          <w:ilvl w:val="0"/>
          <w:numId w:val="1"/>
        </w:numPr>
        <w:spacing w:after="60"/>
      </w:pPr>
      <w:r>
        <w:t xml:space="preserve">AI-assisted delivery for faster, senior-only engineering (no junior bench)</w:t>
      </w:r>
    </w:p>
    <w:p>
      <w:pPr>
        <w:pStyle w:val="ListParagraph"/>
        <w:numPr>
          <w:ilvl w:val="0"/>
          <w:numId w:val="1"/>
        </w:numPr>
        <w:spacing w:after="60"/>
      </w:pPr>
      <w:r>
        <w:t xml:space="preserve">Product-first engineering — built around your roadmap, not just your architecture</w:t>
      </w:r>
    </w:p>
    <w:p>
      <w:pPr>
        <w:pStyle w:val="ListParagraph"/>
        <w:numPr>
          <w:ilvl w:val="0"/>
          <w:numId w:val="1"/>
        </w:numPr>
        <w:spacing w:after="60"/>
      </w:pPr>
      <w:r>
        <w:t xml:space="preserve">Proven experience across global markets — Australia, UAE, and India</w:t>
      </w:r>
    </w:p>
    <w:p>
      <w:pPr>
        <w:pStyle w:val="ListParagraph"/>
        <w:numPr>
          <w:ilvl w:val="0"/>
          <w:numId w:val="1"/>
        </w:numPr>
        <w:spacing w:after="60"/>
      </w:pPr>
      <w:r>
        <w:t xml:space="preserve">SOC 2 Type II aligned processes ensuring security and compliance</w:t>
      </w:r>
    </w:p>
    <w:p>
      <w:pPr>
        <w:spacing w:after="100"/>
      </w:pPr>
    </w:p>
    <w:p>
      <w:pPr>
        <w:pStyle w:val="Heading3"/>
        <w:spacing w:after="100" w:before="200"/>
      </w:pPr>
      <w:r>
        <w:t xml:space="preserve">Our Strategic Capabilities</w:t>
      </w:r>
    </w:p>
    <w:p>
      <w:pPr>
        <w:spacing w:after="160"/>
      </w:pPr>
      <w:r>
        <w:rPr>
          <w:b w:val="false"/>
          <w:bCs w:val="false"/>
          <w:i w:val="false"/>
          <w:iCs w:val="false"/>
        </w:rPr>
        <w:t xml:space="preserve">We specialize in the high-stakes engineering required for modern product growth. Our capabilities are designed to handle the complexity of scaling a product, not just a platform:</w:t>
      </w:r>
    </w:p>
    <w:p>
      <w:pPr>
        <w:pStyle w:val="ListParagraph"/>
        <w:numPr>
          <w:ilvl w:val="0"/>
          <w:numId w:val="1"/>
        </w:numPr>
        <w:spacing w:after="60"/>
      </w:pPr>
      <w:r>
        <w:t xml:space="preserve">SaaS Platform Development — Architecting multi-tenant, cloud-native solutions that scale horizontally to support your growth.</w:t>
      </w:r>
    </w:p>
    <w:p>
      <w:pPr>
        <w:pStyle w:val="ListParagraph"/>
        <w:numPr>
          <w:ilvl w:val="0"/>
          <w:numId w:val="1"/>
        </w:numPr>
        <w:spacing w:after="60"/>
      </w:pPr>
      <w:r>
        <w:t xml:space="preserve">AI-Assisted Engineering — Using AI tooling across your build's full lifecycle, from code generation to automated testing, to cut delivery time without cutting quality. Where your roadmap calls for AI or automation features in the product itself, we scope that openly against your actual data and use case — never oversold.</w:t>
      </w:r>
    </w:p>
    <w:p>
      <w:pPr>
        <w:pStyle w:val="ListParagraph"/>
        <w:numPr>
          <w:ilvl w:val="0"/>
          <w:numId w:val="1"/>
        </w:numPr>
        <w:spacing w:after="60"/>
      </w:pPr>
      <w:r>
        <w:t xml:space="preserve">Data-Driven Systems — Building robust data pipelines and analytics engines that turn raw information into actionable business intelligence.</w:t>
      </w:r>
    </w:p>
    <w:p>
      <w:pPr>
        <w:pStyle w:val="ListParagraph"/>
        <w:numPr>
          <w:ilvl w:val="0"/>
          <w:numId w:val="1"/>
        </w:numPr>
        <w:spacing w:after="60"/>
      </w:pPr>
      <w:r>
        <w:t xml:space="preserve">API-First Architectures — Designing seamless, high-concurrency middleware and headless integrations that let your product connect across your ecosystem.</w:t>
      </w:r>
    </w:p>
    <w:p>
      <w:pPr>
        <w:spacing w:after="100"/>
      </w:pPr>
    </w:p>
    <w:p>
      <w:pPr>
        <w:pStyle w:val="Heading3"/>
        <w:spacing w:after="100" w:before="200"/>
      </w:pPr>
      <w:r>
        <w:t xml:space="preserve">AI Across the Development Lifecycle: 30–40% Faster Delivery</w:t>
      </w:r>
    </w:p>
    <w:p>
      <w:pPr>
        <w:spacing w:after="160"/>
      </w:pPr>
      <w:r>
        <w:rPr>
          <w:b w:val="false"/>
          <w:bCs w:val="false"/>
          <w:i w:val="false"/>
          <w:iCs w:val="false"/>
        </w:rPr>
        <w:t xml:space="preserve">Our engineering data shows a company-reported 30–40% faster time-to-market on AI-assisted engagements, achieved through an AI-augmented workflow built into every stage of the build — not by cutting corners on quality:</w:t>
      </w:r>
    </w:p>
    <w:p>
      <w:pPr>
        <w:pStyle w:val="ListParagraph"/>
        <w:numPr>
          <w:ilvl w:val="0"/>
          <w:numId w:val="1"/>
        </w:numPr>
        <w:spacing w:after="60"/>
      </w:pPr>
      <w:r>
        <w:t xml:space="preserve">Code Acceleration — Using AI-assisted generation and refactoring to reduce manual “boilerplate” coding by nearly half.</w:t>
      </w:r>
    </w:p>
    <w:p>
      <w:pPr>
        <w:pStyle w:val="ListParagraph"/>
        <w:numPr>
          <w:ilvl w:val="0"/>
          <w:numId w:val="1"/>
        </w:numPr>
        <w:spacing w:after="60"/>
      </w:pPr>
      <w:r>
        <w:t xml:space="preserve">Testing Automation — Deploying AI-driven QA processes that predict edge cases and perform continuous regression testing at scale.</w:t>
      </w:r>
    </w:p>
    <w:p>
      <w:pPr>
        <w:pStyle w:val="ListParagraph"/>
        <w:numPr>
          <w:ilvl w:val="0"/>
          <w:numId w:val="1"/>
        </w:numPr>
        <w:spacing w:after="60"/>
      </w:pPr>
      <w:r>
        <w:t xml:space="preserve">Smart Debugging — Utilizing predictive analysis to identify and resolve vulnerabilities and performance issues before they reach production.</w:t>
      </w:r>
    </w:p>
    <w:p>
      <w:pPr>
        <w:pStyle w:val="ListParagraph"/>
        <w:numPr>
          <w:ilvl w:val="0"/>
          <w:numId w:val="1"/>
        </w:numPr>
        <w:spacing w:after="60"/>
      </w:pPr>
      <w:r>
        <w:t xml:space="preserve">Knowledge Generation — AI-powered documentation and mapping that ensures your internal team has complete transparency and a seamless hand-off.</w:t>
      </w:r>
    </w:p>
    <w:p>
      <w:pPr>
        <w:spacing w:after="100"/>
      </w:pPr>
    </w:p>
    <w:p>
      <w:pPr>
        <w:pStyle w:val="Heading3"/>
        <w:spacing w:after="100" w:before="200"/>
      </w:pPr>
      <w:r>
        <w:t xml:space="preserve">How We Work With You</w:t>
      </w:r>
    </w:p>
    <w:p>
      <w:pPr>
        <w:spacing w:after="160"/>
      </w:pPr>
      <w:r>
        <w:rPr>
          <w:b w:val="false"/>
          <w:bCs w:val="false"/>
          <w:i w:val="false"/>
          <w:iCs w:val="false"/>
        </w:rPr>
        <w:t xml:space="preserve">Every engagement starts with architecture, not a contract. Here's what that looks like:</w:t>
      </w:r>
    </w:p>
    <w:p>
      <w:pPr>
        <w:pStyle w:val="ListParagraph"/>
        <w:numPr>
          <w:ilvl w:val="0"/>
          <w:numId w:val="1"/>
        </w:numPr>
        <w:spacing w:after="60"/>
      </w:pPr>
      <w:r>
        <w:t xml:space="preserve">Architecture &amp; Discovery (4–6 weeks) — Validate the architecture against your scale requirements before a single line of production code is written. Consulting engagement.</w:t>
      </w:r>
    </w:p>
    <w:p>
      <w:pPr>
        <w:pStyle w:val="ListParagraph"/>
        <w:numPr>
          <w:ilvl w:val="0"/>
          <w:numId w:val="1"/>
        </w:numPr>
        <w:spacing w:after="60"/>
      </w:pPr>
      <w:r>
        <w:t xml:space="preserve">Build (3–12 months) — MVP through to a production-ready release, staffed as a senior team working inside your sprints. Dedicated Team or Time &amp; Material.</w:t>
      </w:r>
    </w:p>
    <w:p>
      <w:pPr>
        <w:pStyle w:val="ListParagraph"/>
        <w:numPr>
          <w:ilvl w:val="0"/>
          <w:numId w:val="1"/>
        </w:numPr>
        <w:spacing w:after="60"/>
      </w:pPr>
      <w:r>
        <w:t xml:space="preserve">Scale (6+ months, ongoing) — Ongoing feature delivery and platform evolution once you're live. Dedicated Team, or transition to Dedicated Engineering Pods for ongoing capacity.</w:t>
      </w:r>
    </w:p>
    <w:p>
      <w:pPr>
        <w:spacing w:after="200"/>
      </w:pPr>
      <w:r>
        <w:rPr>
          <w:b w:val="false"/>
          <w:bCs w:val="false"/>
          <w:i w:val="false"/>
          <w:iCs w:val="false"/>
        </w:rPr>
        <w:t xml:space="preserve">Once you're live, many clients move into Dedicated Engineering Pods for ongoing capacity — same senior team, same standards, no re-onboarding.</w:t>
      </w:r>
    </w:p>
    <w:p>
      <w:pPr>
        <w:spacing w:after="60"/>
      </w:pPr>
      <w:r>
        <w:rPr>
          <w:b/>
          <w:bCs/>
          <w:color w:val="1F3864"/>
        </w:rPr>
        <w:t xml:space="preserve">[Mid-page CTA banner] Close the Gap — Ready to Match Your Engineering Capacity to Your Roadmap?</w:t>
      </w:r>
    </w:p>
    <w:p>
      <w:pPr>
        <w:spacing w:after="160"/>
      </w:pPr>
      <w:r>
        <w:rPr>
          <w:b w:val="false"/>
          <w:bCs w:val="false"/>
          <w:i w:val="false"/>
          <w:iCs w:val="false"/>
        </w:rPr>
        <w:t xml:space="preserve">Partner with senior product engineers who start in days, not months — and who use AI to move faster, not to replace proof.</w:t>
      </w:r>
    </w:p>
    <w:p>
      <w:pPr>
        <w:spacing w:after="200"/>
      </w:pPr>
      <w:r>
        <w:rPr>
          <w:b/>
          <w:bCs/>
          <w:color w:val="0B7DC4"/>
        </w:rPr>
        <w:t xml:space="preserve">[CTA] Book a Strategy Session</w:t>
      </w:r>
    </w:p>
    <w:p>
      <w:pPr>
        <w:spacing w:after="200"/>
      </w:pPr>
      <w:r>
        <w:rPr>
          <w:i/>
          <w:iCs/>
          <w:color w:val="C00000"/>
        </w:rPr>
        <w:t xml:space="preserve">[Case Study Spotlight — held pending approval, see Section 2 and Section 10]</w:t>
      </w:r>
    </w:p>
    <w:p>
      <w:pPr>
        <w:pStyle w:val="Heading3"/>
        <w:spacing w:after="100" w:before="200"/>
      </w:pPr>
      <w:r>
        <w:t xml:space="preserve">Solutions for Industry DNA</w:t>
      </w:r>
    </w:p>
    <w:p>
      <w:pPr>
        <w:spacing w:after="160"/>
      </w:pPr>
      <w:r>
        <w:rPr>
          <w:b w:val="false"/>
          <w:bCs w:val="false"/>
          <w:i w:val="false"/>
          <w:iCs w:val="false"/>
        </w:rPr>
        <w:t xml:space="preserve">Our footprint spans Australia, UAE, and India, and we bring the specialized knowledge required to navigate the regulatory and technical hurdles of:</w:t>
      </w:r>
    </w:p>
    <w:p>
      <w:pPr>
        <w:pStyle w:val="ListParagraph"/>
        <w:numPr>
          <w:ilvl w:val="0"/>
          <w:numId w:val="1"/>
        </w:numPr>
        <w:spacing w:after="60"/>
      </w:pPr>
      <w:r>
        <w:t xml:space="preserve">Automotive — Powering complex CRMs and DMS integrations for regional leaders</w:t>
      </w:r>
    </w:p>
    <w:p>
      <w:pPr>
        <w:pStyle w:val="ListParagraph"/>
        <w:numPr>
          <w:ilvl w:val="0"/>
          <w:numId w:val="1"/>
        </w:numPr>
        <w:spacing w:after="60"/>
      </w:pPr>
      <w:r>
        <w:t xml:space="preserve">SaaS — [unchanged from live page]</w:t>
      </w:r>
    </w:p>
    <w:p>
      <w:pPr>
        <w:pStyle w:val="ListParagraph"/>
        <w:numPr>
          <w:ilvl w:val="0"/>
          <w:numId w:val="1"/>
        </w:numPr>
        <w:spacing w:after="60"/>
      </w:pPr>
      <w:r>
        <w:t xml:space="preserve">Fintech &amp; Payments — Building secure, high-transaction transactional engines</w:t>
      </w:r>
    </w:p>
    <w:p>
      <w:pPr>
        <w:pStyle w:val="ListParagraph"/>
        <w:numPr>
          <w:ilvl w:val="0"/>
          <w:numId w:val="1"/>
        </w:numPr>
        <w:spacing w:after="60"/>
      </w:pPr>
      <w:r>
        <w:t xml:space="preserve">Enterprise Platforms — Delivering mission-critical internal systems for scaling product companies and global brands</w:t>
      </w:r>
    </w:p>
    <w:p>
      <w:pPr>
        <w:spacing w:after="100"/>
      </w:pPr>
    </w:p>
    <w:p>
      <w:pPr>
        <w:pStyle w:val="Heading3"/>
        <w:spacing w:after="100" w:before="200"/>
      </w:pPr>
      <w:r>
        <w:t xml:space="preserve">Enterprise-Grade Security: The Non-Negotiable Standard</w:t>
      </w:r>
    </w:p>
    <w:p>
      <w:pPr>
        <w:spacing w:after="160"/>
      </w:pPr>
      <w:r>
        <w:rPr>
          <w:b w:val="false"/>
          <w:bCs w:val="false"/>
          <w:i w:val="false"/>
          <w:iCs w:val="false"/>
        </w:rPr>
        <w:t xml:space="preserve">Zediant is a SOC 2 Type II aligned partner, ensuring your IP and data are protected by audited operational practices.</w:t>
      </w:r>
    </w:p>
    <w:p>
      <w:pPr>
        <w:spacing w:after="60"/>
      </w:pPr>
      <w:r>
        <w:rPr>
          <w:b/>
          <w:bCs/>
          <w:i w:val="false"/>
          <w:iCs w:val="false"/>
        </w:rPr>
        <w:t xml:space="preserve">Our Six Pillars of Trust:</w:t>
      </w:r>
    </w:p>
    <w:p>
      <w:pPr>
        <w:pStyle w:val="ListParagraph"/>
        <w:numPr>
          <w:ilvl w:val="0"/>
          <w:numId w:val="1"/>
        </w:numPr>
        <w:spacing w:after="60"/>
      </w:pPr>
      <w:r>
        <w:t xml:space="preserve">SOC 2 Type II Aligned — Our engineering practices align with SOC 2 Type II requirements, giving you audited processes for data protection and operational integrity throughout delivery.</w:t>
      </w:r>
    </w:p>
    <w:p>
      <w:pPr>
        <w:pStyle w:val="ListParagraph"/>
        <w:numPr>
          <w:ilvl w:val="0"/>
          <w:numId w:val="1"/>
        </w:numPr>
        <w:spacing w:after="60"/>
      </w:pPr>
      <w:r>
        <w:t xml:space="preserve">Secure SDLC — [unchanged from live page]</w:t>
      </w:r>
    </w:p>
    <w:p>
      <w:pPr>
        <w:pStyle w:val="ListParagraph"/>
        <w:numPr>
          <w:ilvl w:val="0"/>
          <w:numId w:val="1"/>
        </w:numPr>
        <w:spacing w:after="60"/>
      </w:pPr>
      <w:r>
        <w:t xml:space="preserve">Advanced Data Protection — [unchanged from live page]</w:t>
      </w:r>
    </w:p>
    <w:p>
      <w:pPr>
        <w:pStyle w:val="ListParagraph"/>
        <w:numPr>
          <w:ilvl w:val="0"/>
          <w:numId w:val="1"/>
        </w:numPr>
        <w:spacing w:after="60"/>
      </w:pPr>
      <w:r>
        <w:t xml:space="preserve">Role-Based Access (RBAC) — [unchanged from live page]</w:t>
      </w:r>
    </w:p>
    <w:p>
      <w:pPr>
        <w:pStyle w:val="ListParagraph"/>
        <w:numPr>
          <w:ilvl w:val="0"/>
          <w:numId w:val="1"/>
        </w:numPr>
        <w:spacing w:after="60"/>
      </w:pPr>
      <w:r>
        <w:t xml:space="preserve">Global Compliance — [unchanged from live page]</w:t>
      </w:r>
    </w:p>
    <w:p>
      <w:pPr>
        <w:pStyle w:val="ListParagraph"/>
        <w:numPr>
          <w:ilvl w:val="0"/>
          <w:numId w:val="1"/>
        </w:numPr>
        <w:spacing w:after="60"/>
      </w:pPr>
      <w:r>
        <w:t xml:space="preserve">AI-Driven Monitoring — [unchanged from live page]</w:t>
      </w:r>
    </w:p>
    <w:p>
      <w:pPr>
        <w:spacing w:after="200"/>
      </w:pPr>
      <w:r>
        <w:rPr>
          <w:b w:val="false"/>
          <w:bCs w:val="false"/>
          <w:i w:val="false"/>
          <w:iCs w:val="false"/>
        </w:rPr>
        <w:t xml:space="preserve">Why It Matters: SOC 2 Type II alignment means your security and legal teams get documented, auditable engineering practices from day one — not a promise to figure it out later.</w:t>
      </w:r>
    </w:p>
    <w:p>
      <w:pPr>
        <w:pStyle w:val="Heading3"/>
        <w:spacing w:after="100" w:before="200"/>
      </w:pPr>
      <w:r>
        <w:t xml:space="preserve">Global Engineering Presence</w:t>
      </w:r>
    </w:p>
    <w:p>
      <w:pPr>
        <w:spacing w:after="200"/>
      </w:pPr>
      <w:r>
        <w:rPr>
          <w:b w:val="false"/>
          <w:bCs w:val="false"/>
          <w:i w:val="false"/>
          <w:iCs w:val="false"/>
        </w:rPr>
        <w:t xml:space="preserve">[Unchanged from live page — Australia | UAE | India, “This enables” bullets, closing line.]</w:t>
      </w:r>
    </w:p>
    <w:p>
      <w:pPr>
        <w:pStyle w:val="Heading3"/>
        <w:spacing w:after="100" w:before="200"/>
      </w:pPr>
      <w:r>
        <w:t xml:space="preserve">FAQ</w:t>
      </w:r>
    </w:p>
    <w:p>
      <w:pPr>
        <w:spacing w:after="200"/>
      </w:pPr>
      <w:r>
        <w:rPr>
          <w:b w:val="false"/>
          <w:bCs w:val="false"/>
          <w:i w:val="false"/>
          <w:iCs w:val="false"/>
        </w:rPr>
        <w:t xml:space="preserve">Will you build AI features into my product, or use AI to build my product faster? / How fast can you actually start? / Are you SOC 2 certified? / What does “senior-only” actually mean? — see full answers in Section 4, item L.</w:t>
      </w:r>
    </w:p>
    <w:p>
      <w:pPr>
        <w:spacing w:after="100"/>
      </w:pPr>
      <w:r>
        <w:rPr>
          <w:b/>
          <w:bCs/>
          <w:color w:val="1F3864"/>
        </w:rPr>
        <w:t xml:space="preserve">[Closing CTA] Zediant is a SOC 2 Type II aligned partner — audited security practices built into every engagement, from the first sprint.</w:t>
      </w:r>
    </w:p>
    <w:p>
      <w:pPr>
        <w:spacing w:after="160"/>
      </w:pPr>
      <w:r>
        <w:rPr>
          <w:b w:val="false"/>
          <w:bCs w:val="false"/>
          <w:i w:val="false"/>
          <w:iCs w:val="false"/>
        </w:rPr>
        <w:t xml:space="preserve">[Contact form — unchanged]</w:t>
      </w:r>
    </w:p>
    <w:p>
      <w:r>
        <w:br w:type="page"/>
      </w:r>
    </w:p>
    <w:p>
      <w:pPr>
        <w:pStyle w:val="Heading1"/>
        <w:spacing w:after="200" w:before="400"/>
      </w:pPr>
      <w:r>
        <w:t xml:space="preserve">6. New Sections Added —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900"/>
        <w:gridCol w:w="1350"/>
      </w:tblGrid>
      <w:tr>
        <w:trPr>
          <w:tblHeader/>
        </w:trPr>
        <w:tc>
          <w:tcPr>
            <w:tcW w:type="dxa" w:w="2400"/>
            <w:shd w:fill="1F3864" w:val="clear"/>
            <w:tcMar>
              <w:top w:type="dxa" w:w="60"/>
              <w:left w:type="dxa" w:w="100"/>
              <w:bottom w:type="dxa" w:w="60"/>
              <w:right w:type="dxa" w:w="100"/>
            </w:tcMar>
          </w:tcPr>
          <w:p>
            <w:r>
              <w:rPr>
                <w:b/>
                <w:bCs/>
                <w:i w:val="false"/>
                <w:iCs w:val="false"/>
                <w:color w:val="FFFFFF"/>
              </w:rPr>
              <w:t xml:space="preserve">Section</w:t>
            </w:r>
          </w:p>
        </w:tc>
        <w:tc>
          <w:tcPr>
            <w:tcW w:type="dxa" w:w="1700"/>
            <w:shd w:fill="1F3864" w:val="clear"/>
            <w:tcMar>
              <w:top w:type="dxa" w:w="60"/>
              <w:left w:type="dxa" w:w="100"/>
              <w:bottom w:type="dxa" w:w="60"/>
              <w:right w:type="dxa" w:w="100"/>
            </w:tcMar>
          </w:tcPr>
          <w:p>
            <w:r>
              <w:rPr>
                <w:b/>
                <w:bCs/>
                <w:i w:val="false"/>
                <w:iCs w:val="false"/>
                <w:color w:val="FFFFFF"/>
              </w:rPr>
              <w:t xml:space="preserve">Type</w:t>
            </w:r>
          </w:p>
        </w:tc>
        <w:tc>
          <w:tcPr>
            <w:tcW w:type="dxa" w:w="3900"/>
            <w:shd w:fill="1F3864" w:val="clear"/>
            <w:tcMar>
              <w:top w:type="dxa" w:w="60"/>
              <w:left w:type="dxa" w:w="100"/>
              <w:bottom w:type="dxa" w:w="60"/>
              <w:right w:type="dxa" w:w="100"/>
            </w:tcMar>
          </w:tcPr>
          <w:p>
            <w:r>
              <w:rPr>
                <w:b/>
                <w:bCs/>
                <w:i w:val="false"/>
                <w:iCs w:val="false"/>
                <w:color w:val="FFFFFF"/>
              </w:rPr>
              <w:t xml:space="preserve">Basis</w:t>
            </w:r>
          </w:p>
        </w:tc>
        <w:tc>
          <w:tcPr>
            <w:tcW w:type="dxa" w:w="1350"/>
            <w:shd w:fill="1F3864" w:val="clear"/>
            <w:tcMar>
              <w:top w:type="dxa" w:w="60"/>
              <w:left w:type="dxa" w:w="100"/>
              <w:bottom w:type="dxa" w:w="60"/>
              <w:right w:type="dxa" w:w="100"/>
            </w:tcMar>
          </w:tcPr>
          <w:p>
            <w:r>
              <w:rPr>
                <w:b/>
                <w:bCs/>
                <w:i w:val="false"/>
                <w:iCs w:val="false"/>
                <w:color w:val="FFFFFF"/>
              </w:rPr>
              <w:t xml:space="preserve">Priority</w:t>
            </w:r>
          </w:p>
        </w:tc>
      </w:tr>
      <w:tr>
        <w:tc>
          <w:tcPr>
            <w:tcW w:type="dxa" w:w="2400"/>
            <w:tcMar>
              <w:top w:type="dxa" w:w="60"/>
              <w:left w:type="dxa" w:w="100"/>
              <w:bottom w:type="dxa" w:w="60"/>
              <w:right w:type="dxa" w:w="100"/>
            </w:tcMar>
          </w:tcPr>
          <w:p>
            <w:r>
              <w:rPr>
                <w:b w:val="false"/>
                <w:bCs w:val="false"/>
                <w:i w:val="false"/>
                <w:iCs w:val="false"/>
              </w:rPr>
              <w:t xml:space="preserve">When Your Roadmap Outgrows Your Team</w:t>
            </w:r>
          </w:p>
        </w:tc>
        <w:tc>
          <w:tcPr>
            <w:tcW w:type="dxa" w:w="1700"/>
            <w:tcMar>
              <w:top w:type="dxa" w:w="60"/>
              <w:left w:type="dxa" w:w="100"/>
              <w:bottom w:type="dxa" w:w="60"/>
              <w:right w:type="dxa" w:w="100"/>
            </w:tcMar>
          </w:tcPr>
          <w:p>
            <w:r>
              <w:rPr>
                <w:b w:val="false"/>
                <w:bCs w:val="false"/>
                <w:i w:val="false"/>
                <w:iCs w:val="false"/>
              </w:rPr>
              <w:t xml:space="preserve">Problem/trigger</w:t>
            </w:r>
          </w:p>
        </w:tc>
        <w:tc>
          <w:tcPr>
            <w:tcW w:type="dxa" w:w="3900"/>
            <w:tcMar>
              <w:top w:type="dxa" w:w="60"/>
              <w:left w:type="dxa" w:w="100"/>
              <w:bottom w:type="dxa" w:w="60"/>
              <w:right w:type="dxa" w:w="100"/>
            </w:tcMar>
          </w:tcPr>
          <w:p>
            <w:r>
              <w:rPr>
                <w:b w:val="false"/>
                <w:bCs w:val="false"/>
                <w:i w:val="false"/>
                <w:iCs w:val="false"/>
              </w:rPr>
              <w:t xml:space="preserve">Named for the first time on this page; sourced from campaigns.md's C1 Business Problems list</w:t>
            </w:r>
          </w:p>
        </w:tc>
        <w:tc>
          <w:tcPr>
            <w:tcW w:type="dxa" w:w="1350"/>
            <w:tcMar>
              <w:top w:type="dxa" w:w="60"/>
              <w:left w:type="dxa" w:w="100"/>
              <w:bottom w:type="dxa" w:w="60"/>
              <w:right w:type="dxa" w:w="100"/>
            </w:tcMar>
          </w:tcPr>
          <w:p>
            <w:r>
              <w:rPr>
                <w:b w:val="false"/>
                <w:bCs w:val="false"/>
                <w:i w:val="false"/>
                <w:iCs w:val="false"/>
              </w:rPr>
              <w:t xml:space="preserve">P0</w:t>
            </w:r>
          </w:p>
        </w:tc>
      </w:tr>
      <w:tr>
        <w:tc>
          <w:tcPr>
            <w:tcW w:type="dxa" w:w="2400"/>
            <w:tcMar>
              <w:top w:type="dxa" w:w="60"/>
              <w:left w:type="dxa" w:w="100"/>
              <w:bottom w:type="dxa" w:w="60"/>
              <w:right w:type="dxa" w:w="100"/>
            </w:tcMar>
          </w:tcPr>
          <w:p>
            <w:r>
              <w:rPr>
                <w:b w:val="false"/>
                <w:bCs w:val="false"/>
                <w:i w:val="false"/>
                <w:iCs w:val="false"/>
              </w:rPr>
              <w:t xml:space="preserve">How We Work With You</w:t>
            </w:r>
          </w:p>
        </w:tc>
        <w:tc>
          <w:tcPr>
            <w:tcW w:type="dxa" w:w="1700"/>
            <w:tcMar>
              <w:top w:type="dxa" w:w="60"/>
              <w:left w:type="dxa" w:w="100"/>
              <w:bottom w:type="dxa" w:w="60"/>
              <w:right w:type="dxa" w:w="100"/>
            </w:tcMar>
          </w:tcPr>
          <w:p>
            <w:r>
              <w:rPr>
                <w:b w:val="false"/>
                <w:bCs w:val="false"/>
                <w:i w:val="false"/>
                <w:iCs w:val="false"/>
              </w:rPr>
              <w:t xml:space="preserve">Engagement model</w:t>
            </w:r>
          </w:p>
        </w:tc>
        <w:tc>
          <w:tcPr>
            <w:tcW w:type="dxa" w:w="3900"/>
            <w:tcMar>
              <w:top w:type="dxa" w:w="60"/>
              <w:left w:type="dxa" w:w="100"/>
              <w:bottom w:type="dxa" w:w="60"/>
              <w:right w:type="dxa" w:w="100"/>
            </w:tcMar>
          </w:tcPr>
          <w:p>
            <w:r>
              <w:rPr>
                <w:b w:val="false"/>
                <w:bCs w:val="false"/>
                <w:i w:val="false"/>
                <w:iCs w:val="false"/>
              </w:rPr>
              <w:t xml:space="preserve">Fills the “what does working together look like” gap; sourced from services.md's Typical Project Duration / Engagement Models tables</w:t>
            </w:r>
          </w:p>
        </w:tc>
        <w:tc>
          <w:tcPr>
            <w:tcW w:type="dxa" w:w="1350"/>
            <w:tcMar>
              <w:top w:type="dxa" w:w="60"/>
              <w:left w:type="dxa" w:w="100"/>
              <w:bottom w:type="dxa" w:w="60"/>
              <w:right w:type="dxa" w:w="100"/>
            </w:tcMar>
          </w:tcPr>
          <w:p>
            <w:r>
              <w:rPr>
                <w:b w:val="false"/>
                <w:bCs w:val="false"/>
                <w:i w:val="false"/>
                <w:iCs w:val="false"/>
              </w:rPr>
              <w:t xml:space="preserve">P1</w:t>
            </w:r>
          </w:p>
        </w:tc>
      </w:tr>
      <w:tr>
        <w:tc>
          <w:tcPr>
            <w:tcW w:type="dxa" w:w="2400"/>
            <w:tcMar>
              <w:top w:type="dxa" w:w="60"/>
              <w:left w:type="dxa" w:w="100"/>
              <w:bottom w:type="dxa" w:w="60"/>
              <w:right w:type="dxa" w:w="100"/>
            </w:tcMar>
          </w:tcPr>
          <w:p>
            <w:r>
              <w:rPr>
                <w:b w:val="false"/>
                <w:bCs w:val="false"/>
                <w:i w:val="false"/>
                <w:iCs w:val="false"/>
              </w:rPr>
              <w:t xml:space="preserve">Case Study Spotlight</w:t>
            </w:r>
          </w:p>
        </w:tc>
        <w:tc>
          <w:tcPr>
            <w:tcW w:type="dxa" w:w="1700"/>
            <w:tcMar>
              <w:top w:type="dxa" w:w="60"/>
              <w:left w:type="dxa" w:w="100"/>
              <w:bottom w:type="dxa" w:w="60"/>
              <w:right w:type="dxa" w:w="100"/>
            </w:tcMar>
          </w:tcPr>
          <w:p>
            <w:r>
              <w:rPr>
                <w:b w:val="false"/>
                <w:bCs w:val="false"/>
                <w:i w:val="false"/>
                <w:iCs w:val="false"/>
              </w:rPr>
              <w:t xml:space="preserve">Proof</w:t>
            </w:r>
          </w:p>
        </w:tc>
        <w:tc>
          <w:tcPr>
            <w:tcW w:type="dxa" w:w="3900"/>
            <w:tcMar>
              <w:top w:type="dxa" w:w="60"/>
              <w:left w:type="dxa" w:w="100"/>
              <w:bottom w:type="dxa" w:w="60"/>
              <w:right w:type="dxa" w:w="100"/>
            </w:tcMar>
          </w:tcPr>
          <w:p>
            <w:r>
              <w:rPr>
                <w:b w:val="false"/>
                <w:bCs w:val="false"/>
                <w:i w:val="false"/>
                <w:iCs w:val="false"/>
              </w:rPr>
              <w:t xml:space="preserve">Held pending approval — see Sections 2 and 10</w:t>
            </w:r>
          </w:p>
        </w:tc>
        <w:tc>
          <w:tcPr>
            <w:tcW w:type="dxa" w:w="1350"/>
            <w:tcMar>
              <w:top w:type="dxa" w:w="60"/>
              <w:left w:type="dxa" w:w="100"/>
              <w:bottom w:type="dxa" w:w="60"/>
              <w:right w:type="dxa" w:w="100"/>
            </w:tcMar>
          </w:tcPr>
          <w:p>
            <w:r>
              <w:rPr>
                <w:b w:val="false"/>
                <w:bCs w:val="false"/>
                <w:i w:val="false"/>
                <w:iCs w:val="false"/>
              </w:rPr>
              <w:t xml:space="preserve">P0 once approved</w:t>
            </w:r>
          </w:p>
        </w:tc>
      </w:tr>
      <w:tr>
        <w:tc>
          <w:tcPr>
            <w:tcW w:type="dxa" w:w="2400"/>
            <w:tcMar>
              <w:top w:type="dxa" w:w="60"/>
              <w:left w:type="dxa" w:w="100"/>
              <w:bottom w:type="dxa" w:w="60"/>
              <w:right w:type="dxa" w:w="100"/>
            </w:tcMar>
          </w:tcPr>
          <w:p>
            <w:r>
              <w:rPr>
                <w:b w:val="false"/>
                <w:bCs w:val="false"/>
                <w:i w:val="false"/>
                <w:iCs w:val="false"/>
              </w:rPr>
              <w:t xml:space="preserve">FAQ</w:t>
            </w:r>
          </w:p>
        </w:tc>
        <w:tc>
          <w:tcPr>
            <w:tcW w:type="dxa" w:w="1700"/>
            <w:tcMar>
              <w:top w:type="dxa" w:w="60"/>
              <w:left w:type="dxa" w:w="100"/>
              <w:bottom w:type="dxa" w:w="60"/>
              <w:right w:type="dxa" w:w="100"/>
            </w:tcMar>
          </w:tcPr>
          <w:p>
            <w:r>
              <w:rPr>
                <w:b w:val="false"/>
                <w:bCs w:val="false"/>
                <w:i w:val="false"/>
                <w:iCs w:val="false"/>
              </w:rPr>
              <w:t xml:space="preserve">Objection-handling / long-tail SEO</w:t>
            </w:r>
          </w:p>
        </w:tc>
        <w:tc>
          <w:tcPr>
            <w:tcW w:type="dxa" w:w="3900"/>
            <w:tcMar>
              <w:top w:type="dxa" w:w="60"/>
              <w:left w:type="dxa" w:w="100"/>
              <w:bottom w:type="dxa" w:w="60"/>
              <w:right w:type="dxa" w:w="100"/>
            </w:tcMar>
          </w:tcPr>
          <w:p>
            <w:r>
              <w:rPr>
                <w:b w:val="false"/>
                <w:bCs w:val="false"/>
                <w:i w:val="false"/>
                <w:iCs w:val="false"/>
              </w:rPr>
              <w:t xml:space="preserve">Sourced from services.md's discovery questions and campaigns.md's Common Objections table</w:t>
            </w:r>
          </w:p>
        </w:tc>
        <w:tc>
          <w:tcPr>
            <w:tcW w:type="dxa" w:w="1350"/>
            <w:tcMar>
              <w:top w:type="dxa" w:w="60"/>
              <w:left w:type="dxa" w:w="100"/>
              <w:bottom w:type="dxa" w:w="60"/>
              <w:right w:type="dxa" w:w="100"/>
            </w:tcMar>
          </w:tcPr>
          <w:p>
            <w:r>
              <w:rPr>
                <w:b w:val="false"/>
                <w:bCs w:val="false"/>
                <w:i w:val="false"/>
                <w:iCs w:val="false"/>
              </w:rPr>
              <w:t xml:space="preserve">P1</w:t>
            </w:r>
          </w:p>
        </w:tc>
      </w:tr>
    </w:tbl>
    <w:p>
      <w:pPr>
        <w:pStyle w:val="Heading1"/>
        <w:spacing w:after="200" w:before="400"/>
      </w:pPr>
      <w:r>
        <w:t xml:space="preserve">7. Content Removed —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50"/>
      </w:tblGrid>
      <w:tr>
        <w:trPr>
          <w:tblHeader/>
        </w:trPr>
        <w:tc>
          <w:tcPr>
            <w:tcW w:type="dxa" w:w="3200"/>
            <w:shd w:fill="1F3864" w:val="clear"/>
            <w:tcMar>
              <w:top w:type="dxa" w:w="60"/>
              <w:left w:type="dxa" w:w="100"/>
              <w:bottom w:type="dxa" w:w="60"/>
              <w:right w:type="dxa" w:w="100"/>
            </w:tcMar>
          </w:tcPr>
          <w:p>
            <w:r>
              <w:rPr>
                <w:b/>
                <w:bCs/>
                <w:i w:val="false"/>
                <w:iCs w:val="false"/>
                <w:color w:val="FFFFFF"/>
              </w:rPr>
              <w:t xml:space="preserve">Text removed</w:t>
            </w:r>
          </w:p>
        </w:tc>
        <w:tc>
          <w:tcPr>
            <w:tcW w:type="dxa" w:w="1900"/>
            <w:shd w:fill="1F3864" w:val="clear"/>
            <w:tcMar>
              <w:top w:type="dxa" w:w="60"/>
              <w:left w:type="dxa" w:w="100"/>
              <w:bottom w:type="dxa" w:w="60"/>
              <w:right w:type="dxa" w:w="100"/>
            </w:tcMar>
          </w:tcPr>
          <w:p>
            <w:r>
              <w:rPr>
                <w:b/>
                <w:bCs/>
                <w:i w:val="false"/>
                <w:iCs w:val="false"/>
                <w:color w:val="FFFFFF"/>
              </w:rPr>
              <w:t xml:space="preserve">Location</w:t>
            </w:r>
          </w:p>
        </w:tc>
        <w:tc>
          <w:tcPr>
            <w:tcW w:type="dxa" w:w="4250"/>
            <w:shd w:fill="1F3864" w:val="clear"/>
            <w:tcMar>
              <w:top w:type="dxa" w:w="60"/>
              <w:left w:type="dxa" w:w="100"/>
              <w:bottom w:type="dxa" w:w="60"/>
              <w:right w:type="dxa" w:w="100"/>
            </w:tcMar>
          </w:tcPr>
          <w:p>
            <w:r>
              <w:rPr>
                <w:b/>
                <w:bCs/>
                <w:i w:val="false"/>
                <w:iCs w:val="false"/>
                <w:color w:val="FFFFFF"/>
              </w:rPr>
              <w:t xml:space="preserve">Reason</w:t>
            </w:r>
          </w:p>
        </w:tc>
      </w:tr>
      <w:tr>
        <w:tc>
          <w:tcPr>
            <w:tcW w:type="dxa" w:w="3200"/>
            <w:tcMar>
              <w:top w:type="dxa" w:w="60"/>
              <w:left w:type="dxa" w:w="100"/>
              <w:bottom w:type="dxa" w:w="60"/>
              <w:right w:type="dxa" w:w="100"/>
            </w:tcMar>
          </w:tcPr>
          <w:p>
            <w:r>
              <w:rPr>
                <w:b w:val="false"/>
                <w:bCs w:val="false"/>
                <w:i w:val="false"/>
                <w:iCs w:val="false"/>
              </w:rPr>
              <w:t xml:space="preserve">“We design and build scalable SaaS and Enterprise products that leverage Generative AI and Machine Learning to drive competitive advantage.”</w:t>
            </w:r>
          </w:p>
        </w:tc>
        <w:tc>
          <w:tcPr>
            <w:tcW w:type="dxa" w:w="1900"/>
            <w:tcMar>
              <w:top w:type="dxa" w:w="60"/>
              <w:left w:type="dxa" w:w="100"/>
              <w:bottom w:type="dxa" w:w="60"/>
              <w:right w:type="dxa" w:w="100"/>
            </w:tcMar>
          </w:tcPr>
          <w:p>
            <w:r>
              <w:rPr>
                <w:b w:val="false"/>
                <w:bCs w:val="false"/>
                <w:i w:val="false"/>
                <w:iCs w:val="false"/>
              </w:rPr>
              <w:t xml:space="preserve">Hero subhead</w:t>
            </w:r>
          </w:p>
        </w:tc>
        <w:tc>
          <w:tcPr>
            <w:tcW w:type="dxa" w:w="4250"/>
            <w:tcMar>
              <w:top w:type="dxa" w:w="60"/>
              <w:left w:type="dxa" w:w="100"/>
              <w:bottom w:type="dxa" w:w="60"/>
              <w:right w:type="dxa" w:w="100"/>
            </w:tcMar>
          </w:tcPr>
          <w:p>
            <w:r>
              <w:rPr>
                <w:b w:val="false"/>
                <w:bCs w:val="false"/>
                <w:i w:val="false"/>
                <w:iCs w:val="false"/>
              </w:rPr>
              <w:t xml:space="preserve">Overclaims shipped GenAI/ML product capability; no client case study supports it (services.md)</w:t>
            </w:r>
          </w:p>
        </w:tc>
      </w:tr>
      <w:tr>
        <w:tc>
          <w:tcPr>
            <w:tcW w:type="dxa" w:w="3200"/>
            <w:tcMar>
              <w:top w:type="dxa" w:w="60"/>
              <w:left w:type="dxa" w:w="100"/>
              <w:bottom w:type="dxa" w:w="60"/>
              <w:right w:type="dxa" w:w="100"/>
            </w:tcMar>
          </w:tcPr>
          <w:p>
            <w:r>
              <w:rPr>
                <w:b w:val="false"/>
                <w:bCs w:val="false"/>
                <w:i w:val="false"/>
                <w:iCs w:val="false"/>
              </w:rPr>
              <w:t xml:space="preserve">“Embedding intelligence into your product core—from custom Generative AI and Large Language Model (LLM) integrations to complex workflow automation.”</w:t>
            </w:r>
          </w:p>
        </w:tc>
        <w:tc>
          <w:tcPr>
            <w:tcW w:type="dxa" w:w="1900"/>
            <w:tcMar>
              <w:top w:type="dxa" w:w="60"/>
              <w:left w:type="dxa" w:w="100"/>
              <w:bottom w:type="dxa" w:w="60"/>
              <w:right w:type="dxa" w:w="100"/>
            </w:tcMar>
          </w:tcPr>
          <w:p>
            <w:r>
              <w:rPr>
                <w:b w:val="false"/>
                <w:bCs w:val="false"/>
                <w:i w:val="false"/>
                <w:iCs w:val="false"/>
              </w:rPr>
              <w:t xml:space="preserve">AI Integration capability card</w:t>
            </w:r>
          </w:p>
        </w:tc>
        <w:tc>
          <w:tcPr>
            <w:tcW w:type="dxa" w:w="4250"/>
            <w:tcMar>
              <w:top w:type="dxa" w:w="60"/>
              <w:left w:type="dxa" w:w="100"/>
              <w:bottom w:type="dxa" w:w="60"/>
              <w:right w:type="dxa" w:w="100"/>
            </w:tcMar>
          </w:tcPr>
          <w:p>
            <w:r>
              <w:rPr>
                <w:b w:val="false"/>
                <w:bCs w:val="false"/>
                <w:i w:val="false"/>
                <w:iCs w:val="false"/>
              </w:rPr>
              <w:t xml:space="preserve">Same overclaim, most concrete instance on the page</w:t>
            </w:r>
          </w:p>
        </w:tc>
      </w:tr>
      <w:tr>
        <w:tc>
          <w:tcPr>
            <w:tcW w:type="dxa" w:w="3200"/>
            <w:tcMar>
              <w:top w:type="dxa" w:w="60"/>
              <w:left w:type="dxa" w:w="100"/>
              <w:bottom w:type="dxa" w:w="60"/>
              <w:right w:type="dxa" w:w="100"/>
            </w:tcMar>
          </w:tcPr>
          <w:p>
            <w:r>
              <w:rPr>
                <w:b w:val="false"/>
                <w:bCs w:val="false"/>
                <w:i w:val="false"/>
                <w:iCs w:val="false"/>
              </w:rPr>
              <w:t xml:space="preserve">“Zediant is an AI-First engineering firm.”</w:t>
            </w:r>
          </w:p>
        </w:tc>
        <w:tc>
          <w:tcPr>
            <w:tcW w:type="dxa" w:w="1900"/>
            <w:tcMar>
              <w:top w:type="dxa" w:w="60"/>
              <w:left w:type="dxa" w:w="100"/>
              <w:bottom w:type="dxa" w:w="60"/>
              <w:right w:type="dxa" w:w="100"/>
            </w:tcMar>
          </w:tcPr>
          <w:p>
            <w:r>
              <w:rPr>
                <w:b w:val="false"/>
                <w:bCs w:val="false"/>
                <w:i w:val="false"/>
                <w:iCs w:val="false"/>
              </w:rPr>
              <w:t xml:space="preserve">AI-lifecycle section intro</w:t>
            </w:r>
          </w:p>
        </w:tc>
        <w:tc>
          <w:tcPr>
            <w:tcW w:type="dxa" w:w="4250"/>
            <w:tcMar>
              <w:top w:type="dxa" w:w="60"/>
              <w:left w:type="dxa" w:w="100"/>
              <w:bottom w:type="dxa" w:w="60"/>
              <w:right w:type="dxa" w:w="100"/>
            </w:tcMar>
          </w:tcPr>
          <w:p>
            <w:r>
              <w:rPr>
                <w:b w:val="false"/>
                <w:bCs w:val="false"/>
                <w:i w:val="false"/>
                <w:iCs w:val="false"/>
              </w:rPr>
              <w:t xml:space="preserve">Directly contradicts services.md's mandatory scoping rule against “AI Development Company” positioning</w:t>
            </w:r>
          </w:p>
        </w:tc>
      </w:tr>
      <w:tr>
        <w:tc>
          <w:tcPr>
            <w:tcW w:type="dxa" w:w="3200"/>
            <w:tcMar>
              <w:top w:type="dxa" w:w="60"/>
              <w:left w:type="dxa" w:w="100"/>
              <w:bottom w:type="dxa" w:w="60"/>
              <w:right w:type="dxa" w:w="100"/>
            </w:tcMar>
          </w:tcPr>
          <w:p>
            <w:r>
              <w:rPr>
                <w:b w:val="false"/>
                <w:bCs w:val="false"/>
                <w:i w:val="false"/>
                <w:iCs w:val="false"/>
              </w:rPr>
              <w:t xml:space="preserve">“Unlike standard offshore firms, our entire ecosystem is externally audited to guarantee maximum security and confidentiality.”</w:t>
            </w:r>
          </w:p>
        </w:tc>
        <w:tc>
          <w:tcPr>
            <w:tcW w:type="dxa" w:w="1900"/>
            <w:tcMar>
              <w:top w:type="dxa" w:w="60"/>
              <w:left w:type="dxa" w:w="100"/>
              <w:bottom w:type="dxa" w:w="60"/>
              <w:right w:type="dxa" w:w="100"/>
            </w:tcMar>
          </w:tcPr>
          <w:p>
            <w:r>
              <w:rPr>
                <w:b w:val="false"/>
                <w:bCs w:val="false"/>
                <w:i w:val="false"/>
                <w:iCs w:val="false"/>
              </w:rPr>
              <w:t xml:space="preserve">Security pillar (SOC 2)</w:t>
            </w:r>
          </w:p>
        </w:tc>
        <w:tc>
          <w:tcPr>
            <w:tcW w:type="dxa" w:w="4250"/>
            <w:tcMar>
              <w:top w:type="dxa" w:w="60"/>
              <w:left w:type="dxa" w:w="100"/>
              <w:bottom w:type="dxa" w:w="60"/>
              <w:right w:type="dxa" w:w="100"/>
            </w:tcMar>
          </w:tcPr>
          <w:p>
            <w:r>
              <w:rPr>
                <w:b w:val="false"/>
                <w:bCs w:val="false"/>
                <w:i w:val="false"/>
                <w:iCs w:val="false"/>
              </w:rPr>
              <w:t xml:space="preserve">Absolute “guarantee” claim; disparages a delivery category (offshore) Zediant's own model sits within</w:t>
            </w:r>
          </w:p>
        </w:tc>
      </w:tr>
      <w:tr>
        <w:tc>
          <w:tcPr>
            <w:tcW w:type="dxa" w:w="3200"/>
            <w:tcMar>
              <w:top w:type="dxa" w:w="60"/>
              <w:left w:type="dxa" w:w="100"/>
              <w:bottom w:type="dxa" w:w="60"/>
              <w:right w:type="dxa" w:w="100"/>
            </w:tcMar>
          </w:tcPr>
          <w:p>
            <w:r>
              <w:rPr>
                <w:b w:val="false"/>
                <w:bCs w:val="false"/>
                <w:i w:val="false"/>
                <w:iCs w:val="false"/>
              </w:rPr>
              <w:t xml:space="preserve">“By aligning with SOC 2 Type II standards, Zediant removes the ‘offshore risk.’”</w:t>
            </w:r>
          </w:p>
        </w:tc>
        <w:tc>
          <w:tcPr>
            <w:tcW w:type="dxa" w:w="1900"/>
            <w:tcMar>
              <w:top w:type="dxa" w:w="60"/>
              <w:left w:type="dxa" w:w="100"/>
              <w:bottom w:type="dxa" w:w="60"/>
              <w:right w:type="dxa" w:w="100"/>
            </w:tcMar>
          </w:tcPr>
          <w:p>
            <w:r>
              <w:rPr>
                <w:b w:val="false"/>
                <w:bCs w:val="false"/>
                <w:i w:val="false"/>
                <w:iCs w:val="false"/>
              </w:rPr>
              <w:t xml:space="preserve">“Why It Matters”</w:t>
            </w:r>
          </w:p>
        </w:tc>
        <w:tc>
          <w:tcPr>
            <w:tcW w:type="dxa" w:w="4250"/>
            <w:tcMar>
              <w:top w:type="dxa" w:w="60"/>
              <w:left w:type="dxa" w:w="100"/>
              <w:bottom w:type="dxa" w:w="60"/>
              <w:right w:type="dxa" w:w="100"/>
            </w:tcMar>
          </w:tcPr>
          <w:p>
            <w:r>
              <w:rPr>
                <w:b w:val="false"/>
                <w:bCs w:val="false"/>
                <w:i w:val="false"/>
                <w:iCs w:val="false"/>
              </w:rPr>
              <w:t xml:space="preserve">Same issue — negative, imprecise framing</w:t>
            </w:r>
          </w:p>
        </w:tc>
      </w:tr>
      <w:tr>
        <w:tc>
          <w:tcPr>
            <w:tcW w:type="dxa" w:w="3200"/>
            <w:tcMar>
              <w:top w:type="dxa" w:w="60"/>
              <w:left w:type="dxa" w:w="100"/>
              <w:bottom w:type="dxa" w:w="60"/>
              <w:right w:type="dxa" w:w="100"/>
            </w:tcMar>
          </w:tcPr>
          <w:p>
            <w:r>
              <w:rPr>
                <w:b w:val="false"/>
                <w:bCs w:val="false"/>
                <w:i w:val="false"/>
                <w:iCs w:val="false"/>
              </w:rPr>
              <w:t xml:space="preserve">“We've passed the toughest security audit, proving our system is like Fort Knox for your data.”</w:t>
            </w:r>
          </w:p>
        </w:tc>
        <w:tc>
          <w:tcPr>
            <w:tcW w:type="dxa" w:w="1900"/>
            <w:tcMar>
              <w:top w:type="dxa" w:w="60"/>
              <w:left w:type="dxa" w:w="100"/>
              <w:bottom w:type="dxa" w:w="60"/>
              <w:right w:type="dxa" w:w="100"/>
            </w:tcMar>
          </w:tcPr>
          <w:p>
            <w:r>
              <w:rPr>
                <w:b w:val="false"/>
                <w:bCs w:val="false"/>
                <w:i w:val="false"/>
                <w:iCs w:val="false"/>
              </w:rPr>
              <w:t xml:space="preserve">Closing CTA banner</w:t>
            </w:r>
          </w:p>
        </w:tc>
        <w:tc>
          <w:tcPr>
            <w:tcW w:type="dxa" w:w="4250"/>
            <w:tcMar>
              <w:top w:type="dxa" w:w="60"/>
              <w:left w:type="dxa" w:w="100"/>
              <w:bottom w:type="dxa" w:w="60"/>
              <w:right w:type="dxa" w:w="100"/>
            </w:tcMar>
          </w:tcPr>
          <w:p>
            <w:r>
              <w:rPr>
                <w:b w:val="false"/>
                <w:bCs w:val="false"/>
                <w:i w:val="false"/>
                <w:iCs w:val="false"/>
              </w:rPr>
              <w:t xml:space="preserve">Unattributable, hyperbolic claim independent of the correctly-worded SOC2 label beside it</w:t>
            </w:r>
          </w:p>
        </w:tc>
      </w:tr>
      <w:tr>
        <w:tc>
          <w:tcPr>
            <w:tcW w:type="dxa" w:w="3200"/>
            <w:tcMar>
              <w:top w:type="dxa" w:w="60"/>
              <w:left w:type="dxa" w:w="100"/>
              <w:bottom w:type="dxa" w:w="60"/>
              <w:right w:type="dxa" w:w="100"/>
            </w:tcMar>
          </w:tcPr>
          <w:p>
            <w:r>
              <w:rPr>
                <w:b w:val="false"/>
                <w:bCs w:val="false"/>
                <w:i w:val="false"/>
                <w:iCs w:val="false"/>
              </w:rPr>
              <w:t xml:space="preserve">“PLCs and global brands” (Enterprise Platforms industry card)</w:t>
            </w:r>
          </w:p>
        </w:tc>
        <w:tc>
          <w:tcPr>
            <w:tcW w:type="dxa" w:w="1900"/>
            <w:tcMar>
              <w:top w:type="dxa" w:w="60"/>
              <w:left w:type="dxa" w:w="100"/>
              <w:bottom w:type="dxa" w:w="60"/>
              <w:right w:type="dxa" w:w="100"/>
            </w:tcMar>
          </w:tcPr>
          <w:p>
            <w:r>
              <w:rPr>
                <w:b w:val="false"/>
                <w:bCs w:val="false"/>
                <w:i w:val="false"/>
                <w:iCs w:val="false"/>
              </w:rPr>
              <w:t xml:space="preserve">Industry DNA section</w:t>
            </w:r>
          </w:p>
        </w:tc>
        <w:tc>
          <w:tcPr>
            <w:tcW w:type="dxa" w:w="4250"/>
            <w:tcMar>
              <w:top w:type="dxa" w:w="60"/>
              <w:left w:type="dxa" w:w="100"/>
              <w:bottom w:type="dxa" w:w="60"/>
              <w:right w:type="dxa" w:w="100"/>
            </w:tcMar>
          </w:tcPr>
          <w:p>
            <w:r>
              <w:rPr>
                <w:b w:val="false"/>
                <w:bCs w:val="false"/>
                <w:i w:val="false"/>
                <w:iCs w:val="false"/>
              </w:rPr>
              <w:t xml:space="preserve">Narrows the audience below the service's own documented ICP (10–200 employees, Seed–Series B)</w:t>
            </w:r>
          </w:p>
        </w:tc>
      </w:tr>
      <w:tr>
        <w:tc>
          <w:tcPr>
            <w:tcW w:type="dxa" w:w="3200"/>
            <w:tcMar>
              <w:top w:type="dxa" w:w="60"/>
              <w:left w:type="dxa" w:w="100"/>
              <w:bottom w:type="dxa" w:w="60"/>
              <w:right w:type="dxa" w:w="100"/>
            </w:tcMar>
          </w:tcPr>
          <w:p>
            <w:r>
              <w:rPr>
                <w:b w:val="false"/>
                <w:bCs w:val="false"/>
                <w:i w:val="false"/>
                <w:iCs w:val="false"/>
              </w:rPr>
              <w:t xml:space="preserve">“The most demanding sectors in the APAC region”</w:t>
            </w:r>
          </w:p>
        </w:tc>
        <w:tc>
          <w:tcPr>
            <w:tcW w:type="dxa" w:w="1900"/>
            <w:tcMar>
              <w:top w:type="dxa" w:w="60"/>
              <w:left w:type="dxa" w:w="100"/>
              <w:bottom w:type="dxa" w:w="60"/>
              <w:right w:type="dxa" w:w="100"/>
            </w:tcMar>
          </w:tcPr>
          <w:p>
            <w:r>
              <w:rPr>
                <w:b w:val="false"/>
                <w:bCs w:val="false"/>
                <w:i w:val="false"/>
                <w:iCs w:val="false"/>
              </w:rPr>
              <w:t xml:space="preserve">Industry DNA intro</w:t>
            </w:r>
          </w:p>
        </w:tc>
        <w:tc>
          <w:tcPr>
            <w:tcW w:type="dxa" w:w="4250"/>
            <w:tcMar>
              <w:top w:type="dxa" w:w="60"/>
              <w:left w:type="dxa" w:w="100"/>
              <w:bottom w:type="dxa" w:w="60"/>
              <w:right w:type="dxa" w:w="100"/>
            </w:tcMar>
          </w:tcPr>
          <w:p>
            <w:r>
              <w:rPr>
                <w:b w:val="false"/>
                <w:bCs w:val="false"/>
                <w:i w:val="false"/>
                <w:iCs w:val="false"/>
              </w:rPr>
              <w:t xml:space="preserve">Geographically inaccurate — UAE, part of the page's own stated footprint, is not in APAC</w:t>
            </w:r>
          </w:p>
        </w:tc>
      </w:tr>
      <w:tr>
        <w:tc>
          <w:tcPr>
            <w:tcW w:type="dxa" w:w="3200"/>
            <w:tcMar>
              <w:top w:type="dxa" w:w="60"/>
              <w:left w:type="dxa" w:w="100"/>
              <w:bottom w:type="dxa" w:w="60"/>
              <w:right w:type="dxa" w:w="100"/>
            </w:tcMar>
          </w:tcPr>
          <w:p>
            <w:r>
              <w:rPr>
                <w:b w:val="false"/>
                <w:bCs w:val="false"/>
                <w:i w:val="false"/>
                <w:iCs w:val="false"/>
              </w:rPr>
              <w:t xml:space="preserve">Two of three CTA phrasings (“Explore our AI Capabilities,” “Build Your AI-Enabled Platform Today”)</w:t>
            </w:r>
          </w:p>
        </w:tc>
        <w:tc>
          <w:tcPr>
            <w:tcW w:type="dxa" w:w="1900"/>
            <w:tcMar>
              <w:top w:type="dxa" w:w="60"/>
              <w:left w:type="dxa" w:w="100"/>
              <w:bottom w:type="dxa" w:w="60"/>
              <w:right w:type="dxa" w:w="100"/>
            </w:tcMar>
          </w:tcPr>
          <w:p>
            <w:r>
              <w:rPr>
                <w:b w:val="false"/>
                <w:bCs w:val="false"/>
                <w:i w:val="false"/>
                <w:iCs w:val="false"/>
              </w:rPr>
              <w:t xml:space="preserve">Hero and mid-page CTA</w:t>
            </w:r>
          </w:p>
        </w:tc>
        <w:tc>
          <w:tcPr>
            <w:tcW w:type="dxa" w:w="4250"/>
            <w:tcMar>
              <w:top w:type="dxa" w:w="60"/>
              <w:left w:type="dxa" w:w="100"/>
              <w:bottom w:type="dxa" w:w="60"/>
              <w:right w:type="dxa" w:w="100"/>
            </w:tcMar>
          </w:tcPr>
          <w:p>
            <w:r>
              <w:rPr>
                <w:b w:val="false"/>
                <w:bCs w:val="false"/>
                <w:i w:val="false"/>
                <w:iCs w:val="false"/>
              </w:rPr>
              <w:t xml:space="preserve">Consolidated to one consistent phrase, “Book a Strategy Session,” matching the homepage</w:t>
            </w:r>
          </w:p>
        </w:tc>
      </w:tr>
    </w:tbl>
    <w:p>
      <w:pPr>
        <w:spacing w:after="160"/>
      </w:pPr>
      <w:r>
        <w:rPr>
          <w:b w:val="false"/>
          <w:bCs w:val="false"/>
          <w:i w:val="false"/>
          <w:iCs w:val="false"/>
        </w:rPr>
        <w:t xml:space="preserve">Nothing about AI, security/SOC2, or the 30–40% delivery claim is removed from the page as a topic — per the original audit's explicit instructions, these claims are corrected/attributed, not deleted. The two large decorative stock images are not addressed here (they require design work, not copy) — see Section 8, Phase 4.</w:t>
      </w:r>
    </w:p>
    <w:p>
      <w:r>
        <w:br w:type="page"/>
      </w:r>
    </w:p>
    <w:p>
      <w:pPr>
        <w:pStyle w:val="Heading1"/>
        <w:spacing w:after="200" w:before="400"/>
      </w:pPr>
      <w:r>
        <w:t xml:space="preserve">8. Step-by-Step Implementation Plan</w:t>
      </w:r>
    </w:p>
    <w:p>
      <w:pPr>
        <w:spacing w:after="160"/>
      </w:pPr>
      <w:r>
        <w:rPr>
          <w:b w:val="false"/>
          <w:bCs w:val="false"/>
          <w:i w:val="false"/>
          <w:iCs w:val="false"/>
        </w:rPr>
        <w:t xml:space="preserve">Sequenced so the highest-risk items (policy-contradicting AI/security claims) ship first and independently of anything that needs design work or external approval.</w:t>
      </w:r>
    </w:p>
    <w:p>
      <w:pPr>
        <w:pStyle w:val="Heading2"/>
        <w:spacing w:after="150" w:before="300"/>
      </w:pPr>
      <w:r>
        <w:t xml:space="preserve">Phase 0 — Pre-work (before any copy goes live)</w:t>
      </w:r>
    </w:p>
    <w:p>
      <w:pPr>
        <w:spacing w:after="90"/>
      </w:pPr>
      <w:r>
        <w:rPr>
          <w:b/>
          <w:bCs/>
        </w:rPr>
        <w:t xml:space="preserve">Suggested timing: </w:t>
      </w:r>
      <w:r>
        <w:t xml:space="preserve">Day 0, before Phase 1 starts</w:t>
      </w:r>
    </w:p>
    <w:p>
      <w:pPr>
        <w:spacing w:after="90"/>
      </w:pPr>
      <w:r>
        <w:rPr>
          <w:b/>
          <w:bCs/>
        </w:rPr>
        <w:t xml:space="preserve">Owner: </w:t>
      </w:r>
      <w:r>
        <w:t xml:space="preserve">Content/Marketing owner + Rajeev (or whoever holds claims sign-off)</w:t>
      </w:r>
    </w:p>
    <w:p>
      <w:pPr>
        <w:pStyle w:val="ListParagraph"/>
        <w:numPr>
          <w:ilvl w:val="0"/>
          <w:numId w:val="1"/>
        </w:numPr>
        <w:spacing w:after="60"/>
      </w:pPr>
      <w:r>
        <w:t xml:space="preserve">Confirm the Target Positioning Statement (Section 3) as the standard this page — and ideally the other three service pages, per the audit's cannibalization findings — will be checked against.</w:t>
      </w:r>
    </w:p>
    <w:p>
      <w:pPr>
        <w:pStyle w:val="ListParagraph"/>
        <w:numPr>
          <w:ilvl w:val="0"/>
          <w:numId w:val="1"/>
        </w:numPr>
        <w:spacing w:after="60"/>
      </w:pPr>
      <w:r>
        <w:t xml:space="preserve">Decide the Case Study Spotlight path (Section 2/10, Path A vs. Path B) — this does not block Phase 1–3, only Phase 5.</w:t>
      </w:r>
    </w:p>
    <w:p>
      <w:pPr>
        <w:pStyle w:val="ListParagraph"/>
        <w:numPr>
          <w:ilvl w:val="0"/>
          <w:numId w:val="1"/>
        </w:numPr>
        <w:spacing w:after="60"/>
      </w:pPr>
      <w:r>
        <w:t xml:space="preserve">Confirm “Book a Strategy Session” as the sitewide-consistent primary CTA phrase (it already exists on the homepage) before it's applied to this page in two places.</w:t>
      </w:r>
    </w:p>
    <w:p>
      <w:pPr>
        <w:pStyle w:val="Heading2"/>
        <w:spacing w:after="150" w:before="300"/>
      </w:pPr>
      <w:r>
        <w:t xml:space="preserve">Phase 1 — P0 copy fixes (policy-compliance, no new sections, no design work)</w:t>
      </w:r>
    </w:p>
    <w:p>
      <w:pPr>
        <w:spacing w:after="90"/>
      </w:pPr>
      <w:r>
        <w:rPr>
          <w:b/>
          <w:bCs/>
        </w:rPr>
        <w:t xml:space="preserve">Suggested timing: </w:t>
      </w:r>
      <w:r>
        <w:t xml:space="preserve">Day 1–2</w:t>
      </w:r>
    </w:p>
    <w:p>
      <w:pPr>
        <w:spacing w:after="90"/>
      </w:pPr>
      <w:r>
        <w:rPr>
          <w:b/>
          <w:bCs/>
        </w:rPr>
        <w:t xml:space="preserve">Owner: </w:t>
      </w:r>
      <w:r>
        <w:t xml:space="preserve">Copywriter, with sign-off from whoever owns claims-and-compliance.md</w:t>
      </w:r>
    </w:p>
    <w:p>
      <w:pPr>
        <w:pStyle w:val="ListParagraph"/>
        <w:numPr>
          <w:ilvl w:val="0"/>
          <w:numId w:val="1"/>
        </w:numPr>
        <w:spacing w:after="60"/>
      </w:pPr>
      <w:r>
        <w:t xml:space="preserve">Hero H1 and subhead (Section 4.A).</w:t>
      </w:r>
    </w:p>
    <w:p>
      <w:pPr>
        <w:pStyle w:val="ListParagraph"/>
        <w:numPr>
          <w:ilvl w:val="0"/>
          <w:numId w:val="1"/>
        </w:numPr>
        <w:spacing w:after="60"/>
      </w:pPr>
      <w:r>
        <w:t xml:space="preserve">AI Integration capability card (Section 4.D).</w:t>
      </w:r>
    </w:p>
    <w:p>
      <w:pPr>
        <w:pStyle w:val="ListParagraph"/>
        <w:numPr>
          <w:ilvl w:val="0"/>
          <w:numId w:val="1"/>
        </w:numPr>
        <w:spacing w:after="60"/>
      </w:pPr>
      <w:r>
        <w:t xml:space="preserve">“AI-First engineering firm” line and stat attribution in the AI-lifecycle section (Section 4.E).</w:t>
      </w:r>
    </w:p>
    <w:p>
      <w:pPr>
        <w:pStyle w:val="ListParagraph"/>
        <w:numPr>
          <w:ilvl w:val="0"/>
          <w:numId w:val="1"/>
        </w:numPr>
        <w:spacing w:after="60"/>
      </w:pPr>
      <w:r>
        <w:t xml:space="preserve">Both security overclaim removals (Section 4.H, 4.I).</w:t>
      </w:r>
    </w:p>
    <w:p>
      <w:pPr>
        <w:pStyle w:val="ListParagraph"/>
        <w:numPr>
          <w:ilvl w:val="0"/>
          <w:numId w:val="1"/>
        </w:numPr>
        <w:spacing w:after="60"/>
      </w:pPr>
      <w:r>
        <w:t xml:space="preserve">“PLCs” and “APAC region” fixes in the Industry DNA section (Section 4.G).</w:t>
      </w:r>
    </w:p>
    <w:p>
      <w:pPr>
        <w:pStyle w:val="ListParagraph"/>
        <w:numPr>
          <w:ilvl w:val="0"/>
          <w:numId w:val="1"/>
        </w:numPr>
        <w:spacing w:after="60"/>
      </w:pPr>
      <w:r>
        <w:t xml:space="preserve">This phase alone resolves every item flagged P0 in the prior audit's Section 18, and can ship the same week it's approved — none of it requires new design, new sections, or external approval.</w:t>
      </w:r>
    </w:p>
    <w:p>
      <w:pPr>
        <w:pStyle w:val="Heading2"/>
        <w:spacing w:after="150" w:before="300"/>
      </w:pPr>
      <w:r>
        <w:t xml:space="preserve">Phase 2 — New structural sections (copy only, reuses existing card/list design patterns)</w:t>
      </w:r>
    </w:p>
    <w:p>
      <w:pPr>
        <w:spacing w:after="90"/>
      </w:pPr>
      <w:r>
        <w:rPr>
          <w:b/>
          <w:bCs/>
        </w:rPr>
        <w:t xml:space="preserve">Suggested timing: </w:t>
      </w:r>
      <w:r>
        <w:t xml:space="preserve">Day 3–7</w:t>
      </w:r>
    </w:p>
    <w:p>
      <w:pPr>
        <w:spacing w:after="90"/>
      </w:pPr>
      <w:r>
        <w:rPr>
          <w:b/>
          <w:bCs/>
        </w:rPr>
        <w:t xml:space="preserve">Owner: </w:t>
      </w:r>
      <w:r>
        <w:t xml:space="preserve">Copywriter + whoever owns the page template/CMS</w:t>
      </w:r>
    </w:p>
    <w:p>
      <w:pPr>
        <w:pStyle w:val="ListParagraph"/>
        <w:numPr>
          <w:ilvl w:val="0"/>
          <w:numId w:val="1"/>
        </w:numPr>
        <w:spacing w:after="60"/>
      </w:pPr>
      <w:r>
        <w:t xml:space="preserve">Add “When Your Roadmap Outgrows Your Team” (Section 4.B) — a heading + intro line + bullet list, the same pattern already used elsewhere on the page (e.g., the differentiator list), so no new component should be needed.</w:t>
      </w:r>
    </w:p>
    <w:p>
      <w:pPr>
        <w:pStyle w:val="ListParagraph"/>
        <w:numPr>
          <w:ilvl w:val="0"/>
          <w:numId w:val="1"/>
        </w:numPr>
        <w:spacing w:after="60"/>
      </w:pPr>
      <w:r>
        <w:t xml:space="preserve">Add “How We Work With You” (Section 4.J) — a simple 3-row table or 3-card layout; if a 3-card component doesn't already exist in the CMS, this can also ship as a bullet list to avoid new design work.</w:t>
      </w:r>
    </w:p>
    <w:p>
      <w:pPr>
        <w:pStyle w:val="ListParagraph"/>
        <w:numPr>
          <w:ilvl w:val="0"/>
          <w:numId w:val="1"/>
        </w:numPr>
        <w:spacing w:after="60"/>
      </w:pPr>
      <w:r>
        <w:t xml:space="preserve">Add the FAQ section (Section 4.L) — a simple Q/A list; check whether the CMS has an existing FAQ/accordion component elsewhere on the site (worth reusing for FAQ schema markup) before building a new one.</w:t>
      </w:r>
    </w:p>
    <w:p>
      <w:pPr>
        <w:pStyle w:val="Heading2"/>
        <w:spacing w:after="150" w:before="300"/>
      </w:pPr>
      <w:r>
        <w:t xml:space="preserve">Phase 3 — CTA and mid-page banner consolidation</w:t>
      </w:r>
    </w:p>
    <w:p>
      <w:pPr>
        <w:spacing w:after="90"/>
      </w:pPr>
      <w:r>
        <w:rPr>
          <w:b/>
          <w:bCs/>
        </w:rPr>
        <w:t xml:space="preserve">Suggested timing: </w:t>
      </w:r>
      <w:r>
        <w:t xml:space="preserve">Day 3–7 (parallel with Phase 2)</w:t>
      </w:r>
    </w:p>
    <w:p>
      <w:pPr>
        <w:spacing w:after="90"/>
      </w:pPr>
      <w:r>
        <w:rPr>
          <w:b/>
          <w:bCs/>
        </w:rPr>
        <w:t xml:space="preserve">Owner: </w:t>
      </w:r>
      <w:r>
        <w:t xml:space="preserve">Copywriter + whoever maintains the homepage CTA copy</w:t>
      </w:r>
    </w:p>
    <w:p>
      <w:pPr>
        <w:pStyle w:val="ListParagraph"/>
        <w:numPr>
          <w:ilvl w:val="0"/>
          <w:numId w:val="1"/>
        </w:numPr>
        <w:spacing w:after="60"/>
      </w:pPr>
      <w:r>
        <w:t xml:space="preserve">Update the mid-page CTA banner (Section 4.F).</w:t>
      </w:r>
    </w:p>
    <w:p>
      <w:pPr>
        <w:pStyle w:val="ListParagraph"/>
        <w:numPr>
          <w:ilvl w:val="0"/>
          <w:numId w:val="1"/>
        </w:numPr>
        <w:spacing w:after="60"/>
      </w:pPr>
      <w:r>
        <w:t xml:space="preserve">Verify “Book a Strategy Session” reads consistently in the hero, mid-page banner, and near the footer contact form.</w:t>
      </w:r>
    </w:p>
    <w:p>
      <w:pPr>
        <w:pStyle w:val="ListParagraph"/>
        <w:numPr>
          <w:ilvl w:val="0"/>
          <w:numId w:val="1"/>
        </w:numPr>
        <w:spacing w:after="60"/>
      </w:pPr>
      <w:r>
        <w:t xml:space="preserve">Correct the “See Our All Services” grammar issue near the AI-lifecycle section (flagged in the prior audit, Section 6 item 4/14) while this section is already being touched.</w:t>
      </w:r>
    </w:p>
    <w:p>
      <w:pPr>
        <w:pStyle w:val="Heading2"/>
        <w:spacing w:after="150" w:before="300"/>
      </w:pPr>
      <w:r>
        <w:t xml:space="preserve">Phase 4 — Visual asset replacement (parallel track, does not block Phases 1–3)</w:t>
      </w:r>
    </w:p>
    <w:p>
      <w:pPr>
        <w:spacing w:after="90"/>
      </w:pPr>
      <w:r>
        <w:rPr>
          <w:b/>
          <w:bCs/>
        </w:rPr>
        <w:t xml:space="preserve">Suggested timing: </w:t>
      </w:r>
      <w:r>
        <w:t xml:space="preserve">Independent timeline — designer-dependent</w:t>
      </w:r>
    </w:p>
    <w:p>
      <w:pPr>
        <w:spacing w:after="90"/>
      </w:pPr>
      <w:r>
        <w:rPr>
          <w:b/>
          <w:bCs/>
        </w:rPr>
        <w:t xml:space="preserve">Owner: </w:t>
      </w:r>
      <w:r>
        <w:t xml:space="preserve">Design/brand owner — DESIGNER REQUIRED</w:t>
      </w:r>
    </w:p>
    <w:p>
      <w:pPr>
        <w:pStyle w:val="ListParagraph"/>
        <w:numPr>
          <w:ilvl w:val="0"/>
          <w:numId w:val="1"/>
        </w:numPr>
        <w:spacing w:after="60"/>
      </w:pPr>
      <w:r>
        <w:t xml:space="preserve">Replace the two large generic AI-stock illustrations (the glowing-brain visual after the differentiators section, and the holographic-globe/team visual before “Global Engineering Presence”) with imagery specific to Zediant — an architecture/process diagram, a real interface screenshot with client permission, or something consistent with the more restrained hero illustration already in use.</w:t>
      </w:r>
    </w:p>
    <w:p>
      <w:pPr>
        <w:pStyle w:val="ListParagraph"/>
        <w:numPr>
          <w:ilvl w:val="0"/>
          <w:numId w:val="1"/>
        </w:numPr>
        <w:spacing w:after="60"/>
      </w:pPr>
      <w:r>
        <w:t xml:space="preserve">This is flagged as its own track specifically so it doesn't hold up the copy fixes in Phases 1–3, which carry the higher policy risk.</w:t>
      </w:r>
    </w:p>
    <w:p>
      <w:pPr>
        <w:pStyle w:val="Heading2"/>
        <w:spacing w:after="150" w:before="300"/>
      </w:pPr>
      <w:r>
        <w:t xml:space="preserve">Phase 5 — Case Study Spotlight (conditional on Phase 0's approval decision)</w:t>
      </w:r>
    </w:p>
    <w:p>
      <w:pPr>
        <w:spacing w:after="90"/>
      </w:pPr>
      <w:r>
        <w:rPr>
          <w:b/>
          <w:bCs/>
        </w:rPr>
        <w:t xml:space="preserve">Suggested timing: </w:t>
      </w:r>
      <w:r>
        <w:t xml:space="preserve">After Phase 0 approval, otherwise skipped</w:t>
      </w:r>
    </w:p>
    <w:p>
      <w:pPr>
        <w:spacing w:after="90"/>
      </w:pPr>
      <w:r>
        <w:rPr>
          <w:b/>
          <w:bCs/>
        </w:rPr>
        <w:t xml:space="preserve">Owner: </w:t>
      </w:r>
      <w:r>
        <w:t xml:space="preserve">Content owner + approval holder</w:t>
      </w:r>
    </w:p>
    <w:p>
      <w:pPr>
        <w:pStyle w:val="ListParagraph"/>
        <w:numPr>
          <w:ilvl w:val="0"/>
          <w:numId w:val="1"/>
        </w:numPr>
        <w:spacing w:after="60"/>
      </w:pPr>
      <w:r>
        <w:t xml:space="preserve">If Path A was chosen: add the section using only the pre-approved CS-02 copy in Section 4.K — do not substitute a different case study or add a metric not already in case_studies.md.</w:t>
      </w:r>
    </w:p>
    <w:p>
      <w:pPr>
        <w:pStyle w:val="ListParagraph"/>
        <w:numPr>
          <w:ilvl w:val="0"/>
          <w:numId w:val="1"/>
        </w:numPr>
        <w:spacing w:after="60"/>
      </w:pPr>
      <w:r>
        <w:t xml:space="preserve">If Path B was chosen, or approval is still pending at launch: ship without this section and revisit once a case study clears external-use approval — do not delay Phases 1–4 waiting on this.</w:t>
      </w:r>
    </w:p>
    <w:p>
      <w:pPr>
        <w:pStyle w:val="Heading2"/>
        <w:spacing w:after="150" w:before="300"/>
      </w:pPr>
      <w:r>
        <w:t xml:space="preserve">Phase 6 — QA and publish</w:t>
      </w:r>
    </w:p>
    <w:p>
      <w:pPr>
        <w:spacing w:after="90"/>
      </w:pPr>
      <w:r>
        <w:rPr>
          <w:b/>
          <w:bCs/>
        </w:rPr>
        <w:t xml:space="preserve">Suggested timing: </w:t>
      </w:r>
      <w:r>
        <w:t xml:space="preserve">Final step before go-live</w:t>
      </w:r>
    </w:p>
    <w:p>
      <w:pPr>
        <w:spacing w:after="90"/>
      </w:pPr>
      <w:r>
        <w:rPr>
          <w:b/>
          <w:bCs/>
        </w:rPr>
        <w:t xml:space="preserve">Owner: </w:t>
      </w:r>
      <w:r>
        <w:t xml:space="preserve">Whoever owns final page sign-off</w:t>
      </w:r>
    </w:p>
    <w:p>
      <w:pPr>
        <w:pStyle w:val="ListParagraph"/>
        <w:numPr>
          <w:ilvl w:val="0"/>
          <w:numId w:val="1"/>
        </w:numPr>
        <w:spacing w:after="60"/>
      </w:pPr>
      <w:r>
        <w:t xml:space="preserve">Run the Section 9 checklist below against the final copy.</w:t>
      </w:r>
    </w:p>
    <w:p>
      <w:pPr>
        <w:pStyle w:val="ListParagraph"/>
        <w:numPr>
          <w:ilvl w:val="0"/>
          <w:numId w:val="1"/>
        </w:numPr>
        <w:spacing w:after="60"/>
      </w:pPr>
      <w:r>
        <w:t xml:space="preserve">Spot-check the H1, hero subhead, and AI Integration card specifically against services.md and claims-and-compliance.md §5 one more time immediately before publish — these were the highest-risk items found in the audit.</w:t>
      </w:r>
    </w:p>
    <w:p>
      <w:pPr>
        <w:pStyle w:val="ListParagraph"/>
        <w:numPr>
          <w:ilvl w:val="0"/>
          <w:numId w:val="1"/>
        </w:numPr>
        <w:spacing w:after="60"/>
      </w:pPr>
      <w:r>
        <w:t xml:space="preserve">Publish.</w:t>
      </w:r>
    </w:p>
    <w:p>
      <w:r>
        <w:br w:type="page"/>
      </w:r>
    </w:p>
    <w:p>
      <w:pPr>
        <w:pStyle w:val="Heading1"/>
        <w:spacing w:after="200" w:before="400"/>
      </w:pPr>
      <w:r>
        <w:t xml:space="preserve">9. Pre-Publish QA Checklist</w:t>
      </w:r>
    </w:p>
    <w:p>
      <w:pPr>
        <w:pStyle w:val="ListParagraph"/>
        <w:numPr>
          <w:ilvl w:val="0"/>
          <w:numId w:val="1"/>
        </w:numPr>
        <w:spacing w:after="60"/>
      </w:pPr>
      <w:r>
        <w:t xml:space="preserve">No sentence on the page claims or implies a shipped GenAI/LLM product feature for a client, without an approved case study behind it (policies/claims-and-compliance.md §5).</w:t>
      </w:r>
    </w:p>
    <w:p>
      <w:pPr>
        <w:pStyle w:val="ListParagraph"/>
        <w:numPr>
          <w:ilvl w:val="0"/>
          <w:numId w:val="1"/>
        </w:numPr>
        <w:spacing w:after="60"/>
      </w:pPr>
      <w:r>
        <w:t xml:space="preserve">“SOC 2 Type II” is written as “aligned” everywhere on the page, never “certified” or “compliant” (policies/claims-and-compliance.md §6).</w:t>
      </w:r>
    </w:p>
    <w:p>
      <w:pPr>
        <w:pStyle w:val="ListParagraph"/>
        <w:numPr>
          <w:ilvl w:val="0"/>
          <w:numId w:val="1"/>
        </w:numPr>
        <w:spacing w:after="60"/>
      </w:pPr>
      <w:r>
        <w:t xml:space="preserve">No absolute/guarantee-style security claim (“guarantee,” “Fort Knox,” “toughest audit” or equivalent) remains anywhere on the page (policies/claims-and-compliance.md §7).</w:t>
      </w:r>
    </w:p>
    <w:p>
      <w:pPr>
        <w:pStyle w:val="ListParagraph"/>
        <w:numPr>
          <w:ilvl w:val="0"/>
          <w:numId w:val="1"/>
        </w:numPr>
        <w:spacing w:after="60"/>
      </w:pPr>
      <w:r>
        <w:t xml:space="preserve">The 30–40% figure is attributed as company-reported, not stated as an unqualified fact (company.md).</w:t>
      </w:r>
    </w:p>
    <w:p>
      <w:pPr>
        <w:pStyle w:val="ListParagraph"/>
        <w:numPr>
          <w:ilvl w:val="0"/>
          <w:numId w:val="1"/>
        </w:numPr>
        <w:spacing w:after="60"/>
      </w:pPr>
      <w:r>
        <w:t xml:space="preserve">No case study, client name, or metric appears on the page unless it is quoted exactly from context/case_studies.md and its External Use Approval has been separately confirmed (policies/claims-and-compliance.md §8–9).</w:t>
      </w:r>
    </w:p>
    <w:p>
      <w:pPr>
        <w:pStyle w:val="ListParagraph"/>
        <w:numPr>
          <w:ilvl w:val="0"/>
          <w:numId w:val="1"/>
        </w:numPr>
        <w:spacing w:after="60"/>
      </w:pPr>
      <w:r>
        <w:t xml:space="preserve">CS-02 and CS-06 do not both appear on this page, or in the same context elsewhere, as separate proof points (context/case_studies.md's CS-02/CS-06 restriction).</w:t>
      </w:r>
    </w:p>
    <w:p>
      <w:pPr>
        <w:pStyle w:val="ListParagraph"/>
        <w:numPr>
          <w:ilvl w:val="0"/>
          <w:numId w:val="1"/>
        </w:numPr>
        <w:spacing w:after="60"/>
      </w:pPr>
      <w:r>
        <w:t xml:space="preserve">The H1 contains the literal phrase “product engineering.”</w:t>
      </w:r>
    </w:p>
    <w:p>
      <w:pPr>
        <w:pStyle w:val="ListParagraph"/>
        <w:numPr>
          <w:ilvl w:val="0"/>
          <w:numId w:val="1"/>
        </w:numPr>
        <w:spacing w:after="60"/>
      </w:pPr>
      <w:r>
        <w:t xml:space="preserve">The page uses one consistent primary CTA phrase across the hero, mid-page banner, and footer.</w:t>
      </w:r>
    </w:p>
    <w:p>
      <w:pPr>
        <w:pStyle w:val="ListParagraph"/>
        <w:numPr>
          <w:ilvl w:val="0"/>
          <w:numId w:val="1"/>
        </w:numPr>
        <w:spacing w:after="60"/>
      </w:pPr>
      <w:r>
        <w:t xml:space="preserve">“PLC”/“Public Limited Companies” audience framing does not appear anywhere on the page.</w:t>
      </w:r>
    </w:p>
    <w:p>
      <w:pPr>
        <w:pStyle w:val="ListParagraph"/>
        <w:numPr>
          <w:ilvl w:val="0"/>
          <w:numId w:val="1"/>
        </w:numPr>
        <w:spacing w:after="60"/>
      </w:pPr>
      <w:r>
        <w:t xml:space="preserve">Geographic references match the page's own stated footprint (Australia, UAE, India) — no “APAC” or other regional label that doesn't match.</w:t>
      </w:r>
    </w:p>
    <w:p>
      <w:pPr>
        <w:pStyle w:val="Heading1"/>
        <w:spacing w:after="200" w:before="400"/>
      </w:pPr>
      <w:r>
        <w:t xml:space="preserve">10. Open Decisions Needed From Zediant</w:t>
      </w:r>
    </w:p>
    <w:p>
      <w:pPr>
        <w:pStyle w:val="ListParagraph"/>
        <w:numPr>
          <w:ilvl w:val="0"/>
          <w:numId w:val="1"/>
        </w:numPr>
        <w:spacing w:after="60"/>
      </w:pPr>
      <w:r>
        <w:t xml:space="preserve">Case Study Spotlight: approve Path A (use CS-02 as general product-delivery evidence, no AI claim attached) or Path B (ship without a case study for now)? See Section 2 and Section 4.K.</w:t>
      </w:r>
    </w:p>
    <w:p>
      <w:pPr>
        <w:pStyle w:val="ListParagraph"/>
        <w:numPr>
          <w:ilvl w:val="0"/>
          <w:numId w:val="1"/>
        </w:numPr>
        <w:spacing w:after="60"/>
      </w:pPr>
      <w:r>
        <w:t xml:space="preserve">Confirm “Book a Strategy Session” as the CTA phrase to standardize on for this page (and, longer-term, worth deciding whether to standardize across all four service pages, per the audit's Section 14 finding that CTA wording is inconsistent sitewide, not just on this page).</w:t>
      </w:r>
    </w:p>
    <w:p>
      <w:pPr>
        <w:pStyle w:val="ListParagraph"/>
        <w:numPr>
          <w:ilvl w:val="0"/>
          <w:numId w:val="1"/>
        </w:numPr>
        <w:spacing w:after="60"/>
      </w:pPr>
      <w:r>
        <w:t xml:space="preserve">Assign a designer for Phase 4 (image replacement) and decide whether that work gates launch or ships as a fast-follow — this document assumes fast-follow, since the higher-risk items are all copy, not visual.</w:t>
      </w:r>
    </w:p>
    <w:p>
      <w:pPr>
        <w:pStyle w:val="ListParagraph"/>
        <w:numPr>
          <w:ilvl w:val="0"/>
          <w:numId w:val="1"/>
        </w:numPr>
        <w:spacing w:after="60"/>
      </w:pPr>
      <w:r>
        <w:t xml:space="preserve">Decide whether the same H1/positioning correction (“product” vs. “platform” language, removing “platform-first” framing) should also be applied to the Platform Engineering page at the same time, since the two pages' overlap is a two-sided problem — out of scope for this document, which covers only the AI-Enabled Product Engineering page, but worth flagging for sequencing.</w:t>
      </w:r>
    </w:p>
    <w:p>
      <w:pPr>
        <w:pBdr>
          <w:bottom w:val="single" w:color="BFBFBF" w:sz="6" w:space="1"/>
        </w:pBdr>
        <w:spacing w:after="200"/>
      </w:pPr>
    </w:p>
    <w:p>
      <w:pPr>
        <w:spacing w:after="160"/>
      </w:pPr>
      <w:r>
        <w:rPr>
          <w:i/>
          <w:iCs/>
          <w:color w:val="595959"/>
        </w:rPr>
        <w:t xml:space="preserve">This document proposes copy only. No page, file, or system was modified in producing it. All content above requires sign-off before publication.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9C9C"/>
        <w:sz w:val="16"/>
        <w:szCs w:val="16"/>
      </w:rPr>
      <w:t xml:space="preserve">Page </w:t>
    </w:r>
    <w:r>
      <w:rPr>
        <w:color w:val="9C9C9C"/>
        <w:sz w:val="16"/>
        <w:szCs w:val="16"/>
      </w:rPr>
      <w:fldChar w:fldCharType="begin"/>
      <w:instrText xml:space="preserve">PAGE</w:instrText>
      <w:fldChar w:fldCharType="separate"/>
      <w:fldChar w:fldCharType="end"/>
    </w:r>
    <w:r>
      <w:rPr>
        <w:color w:val="9C9C9C"/>
        <w:sz w:val="16"/>
        <w:szCs w:val="16"/>
      </w:rPr>
      <w:t xml:space="preserve"> of </w:t>
    </w:r>
    <w:r>
      <w:rPr>
        <w:color w:val="9C9C9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9C9C"/>
        <w:sz w:val="16"/>
        <w:szCs w:val="16"/>
      </w:rPr>
      <w:t xml:space="preserve">Zediant — AI-Enabled Product Engineering: Solution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4"/>
      <w:szCs w:val="44"/>
    </w:rPr>
  </w:style>
  <w:style w:type="paragraph" w:styleId="Heading1">
    <w:name w:val="Heading 1"/>
    <w:basedOn w:val="Normal"/>
    <w:next w:val="Normal"/>
    <w:qFormat/>
    <w:pPr>
      <w:pBdr>
        <w:bottom w:val="single" w:color="0B7DC4"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0B7DC4"/>
      <w:sz w:val="25"/>
      <w:szCs w:val="25"/>
    </w:rPr>
  </w:style>
  <w:style w:type="paragraph" w:styleId="Heading3">
    <w:name w:val="Heading 3"/>
    <w:basedOn w:val="Normal"/>
    <w:next w:val="Normal"/>
    <w:qFormat/>
    <w:pPr>
      <w:spacing w:after="100" w:before="200"/>
    </w:pPr>
    <w:rPr>
      <w:rFonts w:ascii="Calibri" w:cs="Calibri" w:eastAsia="Calibri" w:hAnsi="Calibri"/>
      <w:b/>
      <w:bCs/>
      <w:color w:val="20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2026-08-29T04:42:02.564Z</dcterms:created>
  <dcterms:modified xsi:type="dcterms:W3CDTF">2026-08-29T04:42:02.582Z</dcterms:modified>
</cp:coreProperties>
</file>

<file path=docProps/custom.xml><?xml version="1.0" encoding="utf-8"?>
<Properties xmlns="http://schemas.openxmlformats.org/officeDocument/2006/custom-properties" xmlns:vt="http://schemas.openxmlformats.org/officeDocument/2006/docPropsVTypes"/>
</file>