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ZEDIANT TECHNOLOGIES PVT. LTD.</w:t>
        <w:br/>
        <w:t>DISCIPLINARY POLICY AND PROCEDURE</w:t>
      </w:r>
    </w:p>
    <w:tbl>
      <w:tblPr>
        <w:tblStyle w:val="TableGrid"/>
        <w:tblW w:type="auto" w:w="0"/>
        <w:tblLook w:firstColumn="1" w:firstRow="1" w:lastColumn="0" w:lastRow="0" w:noHBand="0" w:noVBand="1" w:val="04A0"/>
      </w:tblPr>
      <w:tblGrid>
        <w:gridCol w:w="4320"/>
        <w:gridCol w:w="4320"/>
      </w:tblGrid>
      <w:tr>
        <w:tc>
          <w:tcPr>
            <w:tcW w:type="dxa" w:w="4320"/>
          </w:tcPr>
          <w:p>
            <w:r>
              <w:rPr>
                <w:b/>
              </w:rPr>
              <w:t>Policy Document ID</w:t>
            </w:r>
          </w:p>
        </w:tc>
        <w:tc>
          <w:tcPr>
            <w:tcW w:type="dxa" w:w="4320"/>
          </w:tcPr>
          <w:p>
            <w:r>
              <w:t>ZED-POL-HR-001</w:t>
            </w:r>
          </w:p>
        </w:tc>
      </w:tr>
      <w:tr>
        <w:tc>
          <w:tcPr>
            <w:tcW w:type="dxa" w:w="4320"/>
          </w:tcPr>
          <w:p>
            <w:r>
              <w:rPr>
                <w:b/>
              </w:rPr>
              <w:t>Document Version</w:t>
            </w:r>
          </w:p>
        </w:tc>
        <w:tc>
          <w:tcPr>
            <w:tcW w:type="dxa" w:w="4320"/>
          </w:tcPr>
          <w:p>
            <w:r>
              <w:t>v2.0 (Renewal 2025-2026)</w:t>
            </w:r>
          </w:p>
        </w:tc>
      </w:tr>
      <w:tr>
        <w:tc>
          <w:tcPr>
            <w:tcW w:type="dxa" w:w="4320"/>
          </w:tcPr>
          <w:p>
            <w:r>
              <w:rPr>
                <w:b/>
              </w:rPr>
              <w:t>Effective Audit Period</w:t>
            </w:r>
          </w:p>
        </w:tc>
        <w:tc>
          <w:tcPr>
            <w:tcW w:type="dxa" w:w="4320"/>
          </w:tcPr>
          <w:p>
            <w:r>
              <w:t>October 1, 2025 – September 30, 2026</w:t>
            </w:r>
          </w:p>
        </w:tc>
      </w:tr>
      <w:tr>
        <w:tc>
          <w:tcPr>
            <w:tcW w:type="dxa" w:w="4320"/>
          </w:tcPr>
          <w:p>
            <w:r>
              <w:rPr>
                <w:b/>
              </w:rPr>
              <w:t>Last Review Date</w:t>
            </w:r>
          </w:p>
        </w:tc>
        <w:tc>
          <w:tcPr>
            <w:tcW w:type="dxa" w:w="4320"/>
          </w:tcPr>
          <w:p>
            <w:r>
              <w:t>October 1, 2025</w:t>
            </w:r>
          </w:p>
        </w:tc>
      </w:tr>
      <w:tr>
        <w:tc>
          <w:tcPr>
            <w:tcW w:type="dxa" w:w="4320"/>
          </w:tcPr>
          <w:p>
            <w:r>
              <w:rPr>
                <w:b/>
              </w:rPr>
              <w:t>Approved By</w:t>
            </w:r>
          </w:p>
        </w:tc>
        <w:tc>
          <w:tcPr>
            <w:tcW w:type="dxa" w:w="4320"/>
          </w:tcPr>
          <w:p>
            <w:r>
              <w:t>Chief Information Security Officer (CISO) &amp; Management</w:t>
            </w:r>
          </w:p>
        </w:tc>
      </w:tr>
      <w:tr>
        <w:tc>
          <w:tcPr>
            <w:tcW w:type="dxa" w:w="4320"/>
          </w:tcPr>
          <w:p>
            <w:r>
              <w:rPr>
                <w:b/>
              </w:rPr>
              <w:t>Classification</w:t>
            </w:r>
          </w:p>
        </w:tc>
        <w:tc>
          <w:tcPr>
            <w:tcW w:type="dxa" w:w="4320"/>
          </w:tcPr>
          <w:p>
            <w:r>
              <w:t>Confidential - Internal &amp; Auditor Access Only</w:t>
            </w:r>
          </w:p>
        </w:tc>
      </w:tr>
    </w:tbl>
    <w:p/>
    <w:p>
      <w:pPr>
        <w:pStyle w:val="Heading1"/>
      </w:pPr>
      <w:r>
        <w:t>1. Purpose</w:t>
      </w:r>
    </w:p>
    <w:p>
      <w:r>
        <w:t>This policy establishes the formal requirements, controls, and operating standards for disciplinary policy and procedure at Zediant Technologies Pvt. Ltd., aligned with AICPA SOC 2 Type 2 Trust Services Criteria.</w:t>
      </w:r>
    </w:p>
    <w:p>
      <w:pPr>
        <w:pStyle w:val="Heading1"/>
      </w:pPr>
      <w:r>
        <w:t>2. Scope</w:t>
      </w:r>
    </w:p>
    <w:p>
      <w:r>
        <w:t>This policy applies to all full-time employees, contractors, interns, vendors, infrastructure components, applications, and third-party systems operating within Zediant Technologies across the audit observation period.</w:t>
      </w:r>
    </w:p>
    <w:p>
      <w:pPr>
        <w:pStyle w:val="Heading1"/>
      </w:pPr>
      <w:r>
        <w:t>3. Policy Statements &amp; Operational Controls</w:t>
      </w:r>
    </w:p>
    <w:p>
      <w:pPr>
        <w:pStyle w:val="Heading2"/>
      </w:pPr>
      <w:r>
        <w:t>3.1 Objective &amp; Code Adherence</w:t>
      </w:r>
    </w:p>
    <w:p>
      <w:r>
        <w:t>Zediant maintains a fair, transparent, and structured disciplinary procedure to address performance deficiencies, behavioral misconduct, information security policy violations, and breach of confidentiality obligations.</w:t>
      </w:r>
    </w:p>
    <w:p>
      <w:pPr>
        <w:pStyle w:val="Heading2"/>
      </w:pPr>
      <w:r>
        <w:t>3.2 Classification of Infractions</w:t>
      </w:r>
    </w:p>
    <w:p>
      <w:r>
        <w:t>Infractions are categorized into Minor (tardiness, attendance lapses), Moderate (unauthorized software installation, neglect of security procedures), and Gross Misconduct (data breach, sharing confidential credentials, theft of IP, harassment).</w:t>
      </w:r>
    </w:p>
    <w:p>
      <w:pPr>
        <w:pStyle w:val="Heading2"/>
      </w:pPr>
      <w:r>
        <w:t>3.3 Progressive Disciplinary Steps</w:t>
      </w:r>
    </w:p>
    <w:p>
      <w:r>
        <w:t>1. Formal Verbal Counseling</w:t>
        <w:br/>
        <w:t>2. Written Warning Letter issued by HR with remediation timeline</w:t>
        <w:br/>
        <w:t>3. Final Written Warning &amp; Performance Improvement Plan (PIP)</w:t>
        <w:br/>
        <w:t>4. Immediate Termination for Gross Misconduct without notice in accordance with Indian employment law.</w:t>
      </w:r>
    </w:p>
    <w:p>
      <w:pPr>
        <w:pStyle w:val="Heading2"/>
      </w:pPr>
      <w:r>
        <w:t>3.4 Appeals &amp; Documentation</w:t>
      </w:r>
    </w:p>
    <w:p>
      <w:r>
        <w:t>All disciplinary inquiries are documented in writing, recorded in HRMS (Zoho People), and maintain an independent appeal mechanism before the management committee.</w:t>
      </w:r>
    </w:p>
    <w:p>
      <w:pPr>
        <w:pStyle w:val="Heading1"/>
      </w:pPr>
      <w:r>
        <w:t>4. Roles and Responsibilities</w:t>
      </w:r>
    </w:p>
    <w:p>
      <w:r>
        <w:t>• CISO / Information Security Lead: Responsible for policy enforcement, periodic audit compliance, and incident review.</w:t>
        <w:br/>
        <w:t>• Department Leads / HR: Responsible for operational implementation, employee awareness, and disciplinary handling.</w:t>
        <w:br/>
        <w:t>• All Staff: Mandatory adherence to this policy with documented annual sign-off.</w:t>
      </w:r>
    </w:p>
    <w:p>
      <w:pPr>
        <w:pStyle w:val="Heading1"/>
      </w:pPr>
      <w:r>
        <w:t>5. Annual Review &amp; Compliance Monitoring</w:t>
      </w:r>
    </w:p>
    <w:p>
      <w:r>
        <w:t>This policy is formally reviewed by executive leadership and the CISO at least annually, or upon significant architectural, operational, or legal changes. Violations are subject to disciplinary action up to and including termination of employment.</w:t>
      </w:r>
    </w:p>
    <w:sectPr w:rsidR="00FC693F" w:rsidRPr="0006063C" w:rsidSect="00034616">
      <w:headerReference xmlns:r="http://schemas.openxmlformats.org/officeDocument/2006/relationships" r:id="rId17" w:type="default"/>
      <w:headerReference xmlns:r="http://schemas.openxmlformats.org/officeDocument/2006/relationships" r:id="rId18" w:type="first"/>
      <w:footerReference xmlns:r="http://schemas.openxmlformats.org/officeDocument/2006/relationships" r:id="rId19" w:type="first"/>
      <w:footerReference xmlns:r="http://schemas.openxmlformats.org/officeDocument/2006/relationships" r:id="rId20"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3.xml"/><Relationship Id="rId20"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