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CODE OF CONDUCT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ZED-POL-GOV-002</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code of conduct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Professional Integrity &amp; Ethics</w:t>
      </w:r>
    </w:p>
    <w:p>
      <w:r>
        <w:t>All personnel must uphold the highest standards of professional ethics, integrity, fairness, and honesty in all dealings with clients, partners, vendors, and colleagues.</w:t>
      </w:r>
    </w:p>
    <w:p>
      <w:pPr>
        <w:pStyle w:val="Heading2"/>
      </w:pPr>
      <w:r>
        <w:t>3.2 Conflict of Interest</w:t>
      </w:r>
    </w:p>
    <w:p>
      <w:r>
        <w:t>Employees must avoid situations where personal interests conflict, or appear to conflict, with the business interests of Zediant. Any potential conflict must be disclosed in writing to HR immediately.</w:t>
      </w:r>
    </w:p>
    <w:p>
      <w:pPr>
        <w:pStyle w:val="Heading2"/>
      </w:pPr>
      <w:r>
        <w:t>3.3 Confidentiality &amp; Intellectual Property</w:t>
      </w:r>
    </w:p>
    <w:p>
      <w:r>
        <w:t>Protection of proprietary code, customer intellectual property, customer data, and Zediant trade secrets is paramount. All employees sign an NDA upon joining and on annual review.</w:t>
      </w:r>
    </w:p>
    <w:p>
      <w:pPr>
        <w:pStyle w:val="Heading2"/>
      </w:pPr>
      <w:r>
        <w:t>3.4 Fair Workplace &amp; Harassment Prevention</w:t>
      </w:r>
    </w:p>
    <w:p>
      <w:r>
        <w:t>Zediant maintains a zero-tolerance policy towards discrimination, harassment (including POSH compliance), retaliation, and workplace bullying.</w:t>
      </w:r>
    </w:p>
    <w:p>
      <w:pPr>
        <w:pStyle w:val="Heading2"/>
      </w:pPr>
      <w:r>
        <w:t>3.5 Annual Acknowledgement</w:t>
      </w:r>
    </w:p>
    <w:p>
      <w:r>
        <w:t>Every employee must sign an annual Code of Conduct attestation affirming compliance.</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