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ZEDIANT TECHNOLOGIES PVT. LTD.</w:t>
        <w:br/>
        <w:t>ASSET MANAGEMENT POLICY</w:t>
      </w:r>
    </w:p>
    <w:tbl>
      <w:tblPr>
        <w:tblStyle w:val="TableGrid"/>
        <w:tblW w:type="auto" w:w="0"/>
        <w:tblLook w:firstColumn="1" w:firstRow="1" w:lastColumn="0" w:lastRow="0" w:noHBand="0" w:noVBand="1" w:val="04A0"/>
      </w:tblPr>
      <w:tblGrid>
        <w:gridCol w:w="4320"/>
        <w:gridCol w:w="4320"/>
      </w:tblGrid>
      <w:tr>
        <w:tc>
          <w:tcPr>
            <w:tcW w:type="dxa" w:w="4320"/>
          </w:tcPr>
          <w:p>
            <w:r>
              <w:rPr>
                <w:b/>
              </w:rPr>
              <w:t>Policy Document ID</w:t>
            </w:r>
          </w:p>
        </w:tc>
        <w:tc>
          <w:tcPr>
            <w:tcW w:type="dxa" w:w="4320"/>
          </w:tcPr>
          <w:p>
            <w:r>
              <w:t>ZED-POL-IT-016</w:t>
            </w:r>
          </w:p>
        </w:tc>
      </w:tr>
      <w:tr>
        <w:tc>
          <w:tcPr>
            <w:tcW w:type="dxa" w:w="4320"/>
          </w:tcPr>
          <w:p>
            <w:r>
              <w:rPr>
                <w:b/>
              </w:rPr>
              <w:t>Document Version</w:t>
            </w:r>
          </w:p>
        </w:tc>
        <w:tc>
          <w:tcPr>
            <w:tcW w:type="dxa" w:w="4320"/>
          </w:tcPr>
          <w:p>
            <w:r>
              <w:t>v2.0 (Renewal 2025-2026)</w:t>
            </w:r>
          </w:p>
        </w:tc>
      </w:tr>
      <w:tr>
        <w:tc>
          <w:tcPr>
            <w:tcW w:type="dxa" w:w="4320"/>
          </w:tcPr>
          <w:p>
            <w:r>
              <w:rPr>
                <w:b/>
              </w:rPr>
              <w:t>Effective Audit Period</w:t>
            </w:r>
          </w:p>
        </w:tc>
        <w:tc>
          <w:tcPr>
            <w:tcW w:type="dxa" w:w="4320"/>
          </w:tcPr>
          <w:p>
            <w:r>
              <w:t>October 1, 2025 – September 30, 2026</w:t>
            </w:r>
          </w:p>
        </w:tc>
      </w:tr>
      <w:tr>
        <w:tc>
          <w:tcPr>
            <w:tcW w:type="dxa" w:w="4320"/>
          </w:tcPr>
          <w:p>
            <w:r>
              <w:rPr>
                <w:b/>
              </w:rPr>
              <w:t>Last Review Date</w:t>
            </w:r>
          </w:p>
        </w:tc>
        <w:tc>
          <w:tcPr>
            <w:tcW w:type="dxa" w:w="4320"/>
          </w:tcPr>
          <w:p>
            <w:r>
              <w:t>October 1, 2025</w:t>
            </w:r>
          </w:p>
        </w:tc>
      </w:tr>
      <w:tr>
        <w:tc>
          <w:tcPr>
            <w:tcW w:type="dxa" w:w="4320"/>
          </w:tcPr>
          <w:p>
            <w:r>
              <w:rPr>
                <w:b/>
              </w:rPr>
              <w:t>Approved By</w:t>
            </w:r>
          </w:p>
        </w:tc>
        <w:tc>
          <w:tcPr>
            <w:tcW w:type="dxa" w:w="4320"/>
          </w:tcPr>
          <w:p>
            <w:r>
              <w:t>Chief Information Security Officer (CISO) &amp; Management</w:t>
            </w:r>
          </w:p>
        </w:tc>
      </w:tr>
      <w:tr>
        <w:tc>
          <w:tcPr>
            <w:tcW w:type="dxa" w:w="4320"/>
          </w:tcPr>
          <w:p>
            <w:r>
              <w:rPr>
                <w:b/>
              </w:rPr>
              <w:t>Classification</w:t>
            </w:r>
          </w:p>
        </w:tc>
        <w:tc>
          <w:tcPr>
            <w:tcW w:type="dxa" w:w="4320"/>
          </w:tcPr>
          <w:p>
            <w:r>
              <w:t>Confidential - Internal &amp; Auditor Access Only</w:t>
            </w:r>
          </w:p>
        </w:tc>
      </w:tr>
    </w:tbl>
    <w:p/>
    <w:p>
      <w:pPr>
        <w:pStyle w:val="Heading1"/>
      </w:pPr>
      <w:r>
        <w:t>1. Purpose</w:t>
      </w:r>
    </w:p>
    <w:p>
      <w:r>
        <w:t>This policy establishes the formal requirements, controls, and operating standards for asset management policy at Zediant Technologies Pvt. Ltd., aligned with AICPA SOC 2 Type 2 Trust Services Criteria.</w:t>
      </w:r>
    </w:p>
    <w:p>
      <w:pPr>
        <w:pStyle w:val="Heading1"/>
      </w:pPr>
      <w:r>
        <w:t>2. Scope</w:t>
      </w:r>
    </w:p>
    <w:p>
      <w:r>
        <w:t>This policy applies to all full-time employees, contractors, interns, vendors, infrastructure components, applications, and third-party systems operating within Zediant Technologies across the audit observation period.</w:t>
      </w:r>
    </w:p>
    <w:p>
      <w:pPr>
        <w:pStyle w:val="Heading1"/>
      </w:pPr>
      <w:r>
        <w:t>3. Policy Statements &amp; Operational Controls</w:t>
      </w:r>
    </w:p>
    <w:p>
      <w:pPr>
        <w:pStyle w:val="Heading2"/>
      </w:pPr>
      <w:r>
        <w:t>3.1 Asset Inventory &amp; Identification</w:t>
      </w:r>
    </w:p>
    <w:p>
      <w:r>
        <w:t>All hardware assets (laptops, monitors, network equipment) and software assets (licenses, SaaS tools, cloud subscriptions) are tagged and logged in the centralized Asset Register.</w:t>
      </w:r>
    </w:p>
    <w:p>
      <w:pPr>
        <w:pStyle w:val="Heading2"/>
      </w:pPr>
      <w:r>
        <w:t>3.2 Asset Issuance &amp; Handover</w:t>
      </w:r>
    </w:p>
    <w:p>
      <w:r>
        <w:t>Every employee receives hardware via a signed Notebook PC Distribution Agreement acknowledging responsibility for custody, security, and care.</w:t>
      </w:r>
    </w:p>
    <w:p>
      <w:pPr>
        <w:pStyle w:val="Heading2"/>
      </w:pPr>
      <w:r>
        <w:t>3.3 Maintenance &amp; Asset Auditing</w:t>
      </w:r>
    </w:p>
    <w:p>
      <w:r>
        <w:t>Periodic physical and logical audits are performed bi-annually. Any lost, damaged, or stolen asset must be reported to IT and the CISO within 4 hours.</w:t>
      </w:r>
    </w:p>
    <w:p>
      <w:pPr>
        <w:pStyle w:val="Heading2"/>
      </w:pPr>
      <w:r>
        <w:t>3.4 Secure Disposal &amp; Decommissioning</w:t>
      </w:r>
    </w:p>
    <w:p>
      <w:r>
        <w:t>Storage media and end-of-life devices undergo secure cryptographic erasure (NIST SP 800-88 compliant) or physical destruction by certified e-waste vendors with documented destruction certificates.</w:t>
      </w:r>
    </w:p>
    <w:p>
      <w:pPr>
        <w:pStyle w:val="Heading1"/>
      </w:pPr>
      <w:r>
        <w:t>4. Roles and Responsibilities</w:t>
      </w:r>
    </w:p>
    <w:p>
      <w:r>
        <w:t>• CISO / Information Security Lead: Responsible for policy enforcement, periodic audit compliance, and incident review.</w:t>
        <w:br/>
        <w:t>• Department Leads / HR: Responsible for operational implementation, employee awareness, and disciplinary handling.</w:t>
        <w:br/>
        <w:t>• All Staff: Mandatory adherence to this policy with documented annual sign-off.</w:t>
      </w:r>
    </w:p>
    <w:p>
      <w:pPr>
        <w:pStyle w:val="Heading1"/>
      </w:pPr>
      <w:r>
        <w:t>5. Annual Review &amp; Compliance Monitoring</w:t>
      </w:r>
    </w:p>
    <w:p>
      <w:r>
        <w:t>This policy is formally reviewed by executive leadership and the CISO at least annually, or upon significant architectural, operational, or legal changes. Violations are subject to disciplinary action up to and including termination of employment.</w:t>
      </w:r>
    </w:p>
    <w:sectPr w:rsidR="00FC693F" w:rsidRPr="0006063C" w:rsidSect="00034616">
      <w:headerReference xmlns:r="http://schemas.openxmlformats.org/officeDocument/2006/relationships" r:id="rId9" w:type="default"/>
      <w:headerReference xmlns:r="http://schemas.openxmlformats.org/officeDocument/2006/relationships" r:id="rId10" w:type="first"/>
      <w:footerReference xmlns:r="http://schemas.openxmlformats.org/officeDocument/2006/relationships" r:id="rId11" w:type="first"/>
      <w:footerReference xmlns:r="http://schemas.openxmlformats.org/officeDocument/2006/relationships" r:id="rId12" w:type="default"/>
      <w:pgSz w:w="12240" w:h="15840"/>
      <w:pgMar w:header="0" w:bottom="1440" w:left="851" w:right="1133" w:top="567" w:foo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