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ZEDIANT TECHNOLOGIES PVT. LTD.</w:t>
        <w:br/>
        <w:t>PASSWORD MANAGEMENT POLICY</w:t>
      </w:r>
    </w:p>
    <w:tbl>
      <w:tblPr>
        <w:tblStyle w:val="TableGrid"/>
        <w:tblW w:type="auto" w:w="0"/>
        <w:tblLook w:firstColumn="1" w:firstRow="1" w:lastColumn="0" w:lastRow="0" w:noHBand="0" w:noVBand="1" w:val="04A0"/>
      </w:tblPr>
      <w:tblGrid>
        <w:gridCol w:w="4320"/>
        <w:gridCol w:w="4320"/>
      </w:tblGrid>
      <w:tr>
        <w:tc>
          <w:tcPr>
            <w:tcW w:type="dxa" w:w="4320"/>
          </w:tcPr>
          <w:p>
            <w:r>
              <w:rPr>
                <w:b/>
              </w:rPr>
              <w:t>Policy Document ID</w:t>
            </w:r>
          </w:p>
        </w:tc>
        <w:tc>
          <w:tcPr>
            <w:tcW w:type="dxa" w:w="4320"/>
          </w:tcPr>
          <w:p>
            <w:r>
              <w:t>ZED-POL-SEC-021</w:t>
            </w:r>
          </w:p>
        </w:tc>
      </w:tr>
      <w:tr>
        <w:tc>
          <w:tcPr>
            <w:tcW w:type="dxa" w:w="4320"/>
          </w:tcPr>
          <w:p>
            <w:r>
              <w:rPr>
                <w:b/>
              </w:rPr>
              <w:t>Document Version</w:t>
            </w:r>
          </w:p>
        </w:tc>
        <w:tc>
          <w:tcPr>
            <w:tcW w:type="dxa" w:w="4320"/>
          </w:tcPr>
          <w:p>
            <w:r>
              <w:t>v2.0 (Renewal 2025-2026)</w:t>
            </w:r>
          </w:p>
        </w:tc>
      </w:tr>
      <w:tr>
        <w:tc>
          <w:tcPr>
            <w:tcW w:type="dxa" w:w="4320"/>
          </w:tcPr>
          <w:p>
            <w:r>
              <w:rPr>
                <w:b/>
              </w:rPr>
              <w:t>Effective Audit Period</w:t>
            </w:r>
          </w:p>
        </w:tc>
        <w:tc>
          <w:tcPr>
            <w:tcW w:type="dxa" w:w="4320"/>
          </w:tcPr>
          <w:p>
            <w:r>
              <w:t>October 1, 2025 – September 30, 2026</w:t>
            </w:r>
          </w:p>
        </w:tc>
      </w:tr>
      <w:tr>
        <w:tc>
          <w:tcPr>
            <w:tcW w:type="dxa" w:w="4320"/>
          </w:tcPr>
          <w:p>
            <w:r>
              <w:rPr>
                <w:b/>
              </w:rPr>
              <w:t>Last Review Date</w:t>
            </w:r>
          </w:p>
        </w:tc>
        <w:tc>
          <w:tcPr>
            <w:tcW w:type="dxa" w:w="4320"/>
          </w:tcPr>
          <w:p>
            <w:r>
              <w:t>October 1, 2025</w:t>
            </w:r>
          </w:p>
        </w:tc>
      </w:tr>
      <w:tr>
        <w:tc>
          <w:tcPr>
            <w:tcW w:type="dxa" w:w="4320"/>
          </w:tcPr>
          <w:p>
            <w:r>
              <w:rPr>
                <w:b/>
              </w:rPr>
              <w:t>Approved By</w:t>
            </w:r>
          </w:p>
        </w:tc>
        <w:tc>
          <w:tcPr>
            <w:tcW w:type="dxa" w:w="4320"/>
          </w:tcPr>
          <w:p>
            <w:r>
              <w:t>Chief Information Security Officer (CISO) &amp; Management</w:t>
            </w:r>
          </w:p>
        </w:tc>
      </w:tr>
      <w:tr>
        <w:tc>
          <w:tcPr>
            <w:tcW w:type="dxa" w:w="4320"/>
          </w:tcPr>
          <w:p>
            <w:r>
              <w:rPr>
                <w:b/>
              </w:rPr>
              <w:t>Classification</w:t>
            </w:r>
          </w:p>
        </w:tc>
        <w:tc>
          <w:tcPr>
            <w:tcW w:type="dxa" w:w="4320"/>
          </w:tcPr>
          <w:p>
            <w:r>
              <w:t>Confidential - Internal &amp; Auditor Access Only</w:t>
            </w:r>
          </w:p>
        </w:tc>
      </w:tr>
    </w:tbl>
    <w:p/>
    <w:p>
      <w:pPr>
        <w:pStyle w:val="Heading1"/>
      </w:pPr>
      <w:r>
        <w:t>1. Purpose</w:t>
      </w:r>
    </w:p>
    <w:p>
      <w:r>
        <w:t>This policy establishes the formal requirements, controls, and operating standards for password management policy at Zediant Technologies Pvt. Ltd., aligned with AICPA SOC 2 Type 2 Trust Services Criteria.</w:t>
      </w:r>
    </w:p>
    <w:p>
      <w:pPr>
        <w:pStyle w:val="Heading1"/>
      </w:pPr>
      <w:r>
        <w:t>2. Scope</w:t>
      </w:r>
    </w:p>
    <w:p>
      <w:r>
        <w:t>This policy applies to all full-time employees, contractors, interns, vendors, infrastructure components, applications, and third-party systems operating within Zediant Technologies across the audit observation period.</w:t>
      </w:r>
    </w:p>
    <w:p>
      <w:pPr>
        <w:pStyle w:val="Heading1"/>
      </w:pPr>
      <w:r>
        <w:t>3. Policy Statements &amp; Operational Controls</w:t>
      </w:r>
    </w:p>
    <w:p>
      <w:pPr>
        <w:pStyle w:val="Heading2"/>
      </w:pPr>
      <w:r>
        <w:t>3.1 Password Complexity Standards</w:t>
      </w:r>
    </w:p>
    <w:p>
      <w:r>
        <w:t>All passwords across corporate systems, workstations, and cloud applications must be at least 12 characters long and contain uppercase, lowercase, numbers, and special symbols.</w:t>
      </w:r>
    </w:p>
    <w:p>
      <w:pPr>
        <w:pStyle w:val="Heading2"/>
      </w:pPr>
      <w:r>
        <w:t>3.2 Multi-Factor Authentication (MFA)</w:t>
      </w:r>
    </w:p>
    <w:p>
      <w:r>
        <w:t>MFA is mandatory for all access to AWS, GitHub, Zoho Workspace, VPN, and email. SMS-based MFA is discouraged in favor of TOTP authenticator apps or hardware keys.</w:t>
      </w:r>
    </w:p>
    <w:p>
      <w:pPr>
        <w:pStyle w:val="Heading2"/>
      </w:pPr>
      <w:r>
        <w:t>3.3 Prohibition of Credential Sharing</w:t>
      </w:r>
    </w:p>
    <w:p>
      <w:r>
        <w:t>Account sharing is strictly forbidden. Shared service accounts must utilize centralized password vaulting with access logs.</w:t>
      </w:r>
    </w:p>
    <w:p>
      <w:pPr>
        <w:pStyle w:val="Heading2"/>
      </w:pPr>
      <w:r>
        <w:t>3.4 Lockout &amp; Expiration</w:t>
      </w:r>
    </w:p>
    <w:p>
      <w:r>
        <w:t>Accounts lock out automatically after 5 consecutive failed login attempts. Session screens lock after 10 minutes of inactivity.</w:t>
      </w:r>
    </w:p>
    <w:p>
      <w:pPr>
        <w:pStyle w:val="Heading1"/>
      </w:pPr>
      <w:r>
        <w:t>4. Roles and Responsibilities</w:t>
      </w:r>
    </w:p>
    <w:p>
      <w:r>
        <w:t>• CISO / Information Security Lead: Responsible for policy enforcement, periodic audit compliance, and incident review.</w:t>
        <w:br/>
        <w:t>• Department Leads / HR: Responsible for operational implementation, employee awareness, and disciplinary handling.</w:t>
        <w:br/>
        <w:t>• All Staff: Mandatory adherence to this policy with documented annual sign-off.</w:t>
      </w:r>
    </w:p>
    <w:p>
      <w:pPr>
        <w:pStyle w:val="Heading1"/>
      </w:pPr>
      <w:r>
        <w:t>5. Annual Review &amp; Compliance Monitoring</w:t>
      </w:r>
    </w:p>
    <w:p>
      <w:r>
        <w:t>This policy is formally reviewed by executive leadership and the CISO at least annually, or upon significant architectural, operational, or legal changes. Violations are subject to disciplinary action up to and including termination of employment.</w:t>
      </w:r>
    </w:p>
    <w:sectPr w:rsidR="00FC693F" w:rsidRPr="0006063C" w:rsidSect="00034616">
      <w:headerReference xmlns:r="http://schemas.openxmlformats.org/officeDocument/2006/relationships" r:id="rId9" w:type="default"/>
      <w:headerReference xmlns:r="http://schemas.openxmlformats.org/officeDocument/2006/relationships" r:id="rId10" w:type="first"/>
      <w:footerReference xmlns:r="http://schemas.openxmlformats.org/officeDocument/2006/relationships" r:id="rId11" w:type="first"/>
      <w:footerReference xmlns:r="http://schemas.openxmlformats.org/officeDocument/2006/relationships" r:id="rId12" w:type="default"/>
      <w:pgSz w:w="12240" w:h="15840"/>
      <w:pgMar w:header="0" w:bottom="1440" w:left="851" w:right="1133" w:top="567" w:foo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oter" Target="footer4.xml"/></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