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ZEDIANT TECHNOLOGIES PVT. LTD.</w:t>
        <w:br/>
        <w:t>ANTIVIRUS AND MALWARE PREVENTION POLICY</w:t>
      </w:r>
    </w:p>
    <w:tbl>
      <w:tblPr>
        <w:tblStyle w:val="TableGrid"/>
        <w:tblW w:type="auto" w:w="0"/>
        <w:tblLook w:firstColumn="1" w:firstRow="1" w:lastColumn="0" w:lastRow="0" w:noHBand="0" w:noVBand="1" w:val="04A0"/>
      </w:tblPr>
      <w:tblGrid>
        <w:gridCol w:w="4320"/>
        <w:gridCol w:w="4320"/>
      </w:tblGrid>
      <w:tr>
        <w:tc>
          <w:tcPr>
            <w:tcW w:type="dxa" w:w="4320"/>
          </w:tcPr>
          <w:p>
            <w:r>
              <w:rPr>
                <w:b/>
              </w:rPr>
              <w:t>Policy Document ID</w:t>
            </w:r>
          </w:p>
        </w:tc>
        <w:tc>
          <w:tcPr>
            <w:tcW w:type="dxa" w:w="4320"/>
          </w:tcPr>
          <w:p>
            <w:r>
              <w:t>ZED-POL-SEC-027</w:t>
            </w:r>
          </w:p>
        </w:tc>
      </w:tr>
      <w:tr>
        <w:tc>
          <w:tcPr>
            <w:tcW w:type="dxa" w:w="4320"/>
          </w:tcPr>
          <w:p>
            <w:r>
              <w:rPr>
                <w:b/>
              </w:rPr>
              <w:t>Document Version</w:t>
            </w:r>
          </w:p>
        </w:tc>
        <w:tc>
          <w:tcPr>
            <w:tcW w:type="dxa" w:w="4320"/>
          </w:tcPr>
          <w:p>
            <w:r>
              <w:t>v2.0 (Renewal 2025-2026)</w:t>
            </w:r>
          </w:p>
        </w:tc>
      </w:tr>
      <w:tr>
        <w:tc>
          <w:tcPr>
            <w:tcW w:type="dxa" w:w="4320"/>
          </w:tcPr>
          <w:p>
            <w:r>
              <w:rPr>
                <w:b/>
              </w:rPr>
              <w:t>Effective Audit Period</w:t>
            </w:r>
          </w:p>
        </w:tc>
        <w:tc>
          <w:tcPr>
            <w:tcW w:type="dxa" w:w="4320"/>
          </w:tcPr>
          <w:p>
            <w:r>
              <w:t>October 1, 2025 – September 30, 2026</w:t>
            </w:r>
          </w:p>
        </w:tc>
      </w:tr>
      <w:tr>
        <w:tc>
          <w:tcPr>
            <w:tcW w:type="dxa" w:w="4320"/>
          </w:tcPr>
          <w:p>
            <w:r>
              <w:rPr>
                <w:b/>
              </w:rPr>
              <w:t>Last Review Date</w:t>
            </w:r>
          </w:p>
        </w:tc>
        <w:tc>
          <w:tcPr>
            <w:tcW w:type="dxa" w:w="4320"/>
          </w:tcPr>
          <w:p>
            <w:r>
              <w:t>October 1, 2025</w:t>
            </w:r>
          </w:p>
        </w:tc>
      </w:tr>
      <w:tr>
        <w:tc>
          <w:tcPr>
            <w:tcW w:type="dxa" w:w="4320"/>
          </w:tcPr>
          <w:p>
            <w:r>
              <w:rPr>
                <w:b/>
              </w:rPr>
              <w:t>Approved By</w:t>
            </w:r>
          </w:p>
        </w:tc>
        <w:tc>
          <w:tcPr>
            <w:tcW w:type="dxa" w:w="4320"/>
          </w:tcPr>
          <w:p>
            <w:r>
              <w:t>Chief Information Security Officer (CISO) &amp; Management</w:t>
            </w:r>
          </w:p>
        </w:tc>
      </w:tr>
      <w:tr>
        <w:tc>
          <w:tcPr>
            <w:tcW w:type="dxa" w:w="4320"/>
          </w:tcPr>
          <w:p>
            <w:r>
              <w:rPr>
                <w:b/>
              </w:rPr>
              <w:t>Classification</w:t>
            </w:r>
          </w:p>
        </w:tc>
        <w:tc>
          <w:tcPr>
            <w:tcW w:type="dxa" w:w="4320"/>
          </w:tcPr>
          <w:p>
            <w:r>
              <w:t>Confidential - Internal &amp; Auditor Access Only</w:t>
            </w:r>
          </w:p>
        </w:tc>
      </w:tr>
    </w:tbl>
    <w:p/>
    <w:p>
      <w:pPr>
        <w:pStyle w:val="Heading1"/>
      </w:pPr>
      <w:r>
        <w:t>1. Purpose</w:t>
      </w:r>
    </w:p>
    <w:p>
      <w:r>
        <w:t>This policy establishes the formal requirements, controls, and operating standards for antivirus and malware prevention policy at Zediant Technologies Pvt. Ltd., aligned with AICPA SOC 2 Type 2 Trust Services Criteria.</w:t>
      </w:r>
    </w:p>
    <w:p>
      <w:pPr>
        <w:pStyle w:val="Heading1"/>
      </w:pPr>
      <w:r>
        <w:t>2. Scope</w:t>
      </w:r>
    </w:p>
    <w:p>
      <w:r>
        <w:t>This policy applies to all full-time employees, contractors, interns, vendors, infrastructure components, applications, and third-party systems operating within Zediant Technologies across the audit observation period.</w:t>
      </w:r>
    </w:p>
    <w:p>
      <w:pPr>
        <w:pStyle w:val="Heading1"/>
      </w:pPr>
      <w:r>
        <w:t>3. Policy Statements &amp; Operational Controls</w:t>
      </w:r>
    </w:p>
    <w:p>
      <w:pPr>
        <w:pStyle w:val="Heading2"/>
      </w:pPr>
      <w:r>
        <w:t>3.1 Endpoint Protection Requirement</w:t>
      </w:r>
    </w:p>
    <w:p>
      <w:r>
        <w:t>All company-issued workstations and production servers must run centralized, centrally managed enterprise antivirus/EDR software.</w:t>
      </w:r>
    </w:p>
    <w:p>
      <w:pPr>
        <w:pStyle w:val="Heading2"/>
      </w:pPr>
      <w:r>
        <w:t>3.2 Definition Updates &amp; Real-Time Scanning</w:t>
      </w:r>
    </w:p>
    <w:p>
      <w:r>
        <w:t>Antivirus definitions must be updated automatically and continuously. Real-time background file system scanning and browser protection must remain enabled at all times.</w:t>
      </w:r>
    </w:p>
    <w:p>
      <w:pPr>
        <w:pStyle w:val="Heading2"/>
      </w:pPr>
      <w:r>
        <w:t>3.3 Disabling Protection Prohibited</w:t>
      </w:r>
    </w:p>
    <w:p>
      <w:r>
        <w:t>Users are strictly prohibited from disabling, modifying, or uninstalling security software.</w:t>
      </w:r>
    </w:p>
    <w:p>
      <w:pPr>
        <w:pStyle w:val="Heading2"/>
      </w:pPr>
      <w:r>
        <w:t>3.4 Incident Response &amp; Quarantine</w:t>
      </w:r>
    </w:p>
    <w:p>
      <w:r>
        <w:t>Any malware detected triggers immediate quarantine, automated alert logging to the IT team, and an incident escalation ticket.</w:t>
      </w:r>
    </w:p>
    <w:p>
      <w:pPr>
        <w:pStyle w:val="Heading1"/>
      </w:pPr>
      <w:r>
        <w:t>4. Roles and Responsibilities</w:t>
      </w:r>
    </w:p>
    <w:p>
      <w:r>
        <w:t>• CISO / Information Security Lead: Responsible for policy enforcement, periodic audit compliance, and incident review.</w:t>
        <w:br/>
        <w:t>• Department Leads / HR: Responsible for operational implementation, employee awareness, and disciplinary handling.</w:t>
        <w:br/>
        <w:t>• All Staff: Mandatory adherence to this policy with documented annual sign-off.</w:t>
      </w:r>
    </w:p>
    <w:p>
      <w:pPr>
        <w:pStyle w:val="Heading1"/>
      </w:pPr>
      <w:r>
        <w:t>5. Annual Review &amp; Compliance Monitoring</w:t>
      </w:r>
    </w:p>
    <w:p>
      <w:r>
        <w:t>This policy is formally reviewed by executive leadership and the CISO at least annually, or upon significant architectural, operational, or legal changes. Violations are subject to disciplinary action up to and including termination of employment.</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