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1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line="240" w:lineRule="auto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pBdr>
          <w:bottom w:color="000000" w:space="2" w:sz="18" w:val="single"/>
        </w:pBdr>
        <w:shd w:fill="000099" w:val="clear"/>
        <w:tabs>
          <w:tab w:val="left" w:leader="none" w:pos="600"/>
        </w:tabs>
        <w:spacing w:after="0" w:line="240" w:lineRule="auto"/>
        <w:ind w:left="720" w:firstLine="0"/>
        <w:jc w:val="center"/>
        <w:rPr>
          <w:rFonts w:ascii="Verdana" w:cs="Verdana" w:eastAsia="Verdana" w:hAnsi="Verdana"/>
          <w:b w:val="1"/>
          <w:color w:val="ffffff"/>
          <w:sz w:val="32"/>
          <w:szCs w:val="32"/>
        </w:rPr>
      </w:pPr>
      <w:r w:rsidDel="00000000" w:rsidR="00000000" w:rsidRPr="00000000">
        <w:rPr>
          <w:rFonts w:ascii="Verdana" w:cs="Verdana" w:eastAsia="Verdana" w:hAnsi="Verdana"/>
          <w:b w:val="1"/>
          <w:color w:val="ffffff"/>
          <w:sz w:val="32"/>
          <w:szCs w:val="32"/>
          <w:rtl w:val="0"/>
        </w:rPr>
        <w:t xml:space="preserve">Data Breach Policy &amp; Data Identification and Classification Policy</w:t>
      </w:r>
    </w:p>
    <w:p w:rsidR="00000000" w:rsidDel="00000000" w:rsidP="00000000" w:rsidRDefault="00000000" w:rsidRPr="00000000" w14:paraId="00000005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</w:rPr>
        <w:drawing>
          <wp:inline distB="114300" distT="114300" distL="114300" distR="114300">
            <wp:extent cx="1440000" cy="556800"/>
            <wp:effectExtent b="0" l="0" r="0" t="0"/>
            <wp:docPr id="17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5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61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000"/>
      </w:tblPr>
      <w:tblGrid>
        <w:gridCol w:w="5610"/>
        <w:tblGridChange w:id="0">
          <w:tblGrid>
            <w:gridCol w:w="5610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1"/>
              <w:tabs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DOCUMENT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tabs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8" w:hRule="atLeast"/>
          <w:tblHeader w:val="0"/>
        </w:trPr>
        <w:tc>
          <w:tcPr>
            <w:tcBorders>
              <w:top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1"/>
              <w:spacing w:after="0" w:line="240" w:lineRule="auto"/>
              <w:ind w:left="0" w:firstLine="0"/>
              <w:jc w:val="center"/>
              <w:rPr>
                <w:rFonts w:ascii="Verdana" w:cs="Verdana" w:eastAsia="Verdana" w:hAnsi="Verdana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rtl w:val="0"/>
              </w:rPr>
              <w:t xml:space="preserve">Data Breach Policy &amp; Data Identification </w:t>
              <w:br w:type="textWrapping"/>
              <w:t xml:space="preserve">and Classification Policy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bottom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1"/>
              <w:tabs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PREPARED BY</w:t>
            </w:r>
          </w:p>
        </w:tc>
      </w:tr>
      <w:tr>
        <w:trPr>
          <w:cantSplit w:val="0"/>
          <w:trHeight w:val="431" w:hRule="atLeast"/>
          <w:tblHeader w:val="0"/>
        </w:trPr>
        <w:tc>
          <w:tcPr>
            <w:tcBorders>
              <w:top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1"/>
              <w:widowControl w:val="1"/>
              <w:tabs>
                <w:tab w:val="center" w:leader="none" w:pos="4320"/>
                <w:tab w:val="right" w:leader="none" w:pos="8640"/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sz w:val="20"/>
                <w:szCs w:val="20"/>
                <w:rtl w:val="0"/>
              </w:rPr>
              <w:t xml:space="preserve">Rajeev Jaiswal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" w:hRule="atLeast"/>
          <w:tblHeader w:val="0"/>
        </w:trPr>
        <w:tc>
          <w:tcPr>
            <w:tcBorders>
              <w:bottom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1"/>
              <w:tabs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LAST UP</w:t>
            </w: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DATED DATE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1"/>
              <w:tabs>
                <w:tab w:val="left" w:leader="none" w:pos="90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sz w:val="20"/>
                <w:szCs w:val="20"/>
                <w:rtl w:val="0"/>
              </w:rPr>
              <w:t xml:space="preserve">June, 202</w:t>
            </w:r>
            <w:r w:rsidDel="00000000" w:rsidR="00000000" w:rsidRPr="00000000">
              <w:rPr>
                <w:rFonts w:ascii="Verdana" w:cs="Verdana" w:eastAsia="Verdana" w:hAnsi="Verdana"/>
                <w:b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1"/>
        <w:spacing w:after="0" w:line="240" w:lineRule="auto"/>
        <w:ind w:left="1080" w:firstLine="0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pBdr>
          <w:bottom w:color="000000" w:space="2" w:sz="18" w:val="single"/>
        </w:pBdr>
        <w:shd w:fill="000099" w:val="clear"/>
        <w:tabs>
          <w:tab w:val="left" w:leader="none" w:pos="600"/>
        </w:tabs>
        <w:spacing w:after="0" w:line="240" w:lineRule="auto"/>
        <w:ind w:left="720" w:firstLine="0"/>
        <w:jc w:val="center"/>
        <w:rPr>
          <w:rFonts w:ascii="Verdana" w:cs="Verdana" w:eastAsia="Verdana" w:hAnsi="Verdana"/>
          <w:b w:val="1"/>
          <w:color w:val="ffffff"/>
          <w:sz w:val="32"/>
          <w:szCs w:val="32"/>
        </w:rPr>
      </w:pPr>
      <w:r w:rsidDel="00000000" w:rsidR="00000000" w:rsidRPr="00000000">
        <w:rPr>
          <w:rFonts w:ascii="Verdana" w:cs="Verdana" w:eastAsia="Verdana" w:hAnsi="Verdana"/>
          <w:b w:val="1"/>
          <w:color w:val="ffffff"/>
          <w:sz w:val="32"/>
          <w:szCs w:val="32"/>
          <w:rtl w:val="0"/>
        </w:rPr>
        <w:t xml:space="preserve">INDEX</w:t>
      </w:r>
    </w:p>
    <w:sdt>
      <w:sdtPr>
        <w:id w:val="-87507304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cvqr658q2mt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Data Breach Policy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u1hawdprm4t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Purpose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nkwsk73e4u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Scope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xahh9klmijm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Definition of Data Breach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x4me76jtyz3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Roles &amp; Responsibilities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sglq9dtt6jl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Breach Response Process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d6sem5rknxb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 Evidence &amp; Recordkeeping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w9v97ch19io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Data Identification and Classification Policy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cno2rgi36u8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Purpose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z7ztzjsv0w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Scope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4uy9ussg7ew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Classification Levels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vljae1uj2hv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Responsibilities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0e46pd5jkd7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Data Handling Guidelines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gnkmskx8sqd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 Monitoring &amp; Review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mmq7qc934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Review and Maintenance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8">
      <w:pPr>
        <w:widowControl w:val="1"/>
        <w:spacing w:after="0" w:line="240" w:lineRule="auto"/>
        <w:jc w:val="both"/>
        <w:rPr>
          <w:rFonts w:ascii="Verdana" w:cs="Verdana" w:eastAsia="Verdana" w:hAnsi="Verdana"/>
          <w:smallCaps w:val="1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spacing w:after="0" w:line="240" w:lineRule="auto"/>
        <w:jc w:val="both"/>
        <w:rPr>
          <w:rFonts w:ascii="Verdana" w:cs="Verdana" w:eastAsia="Verdana" w:hAnsi="Verdana"/>
          <w:smallCaps w:val="1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spacing w:after="0" w:line="240" w:lineRule="auto"/>
        <w:jc w:val="both"/>
        <w:rPr>
          <w:rFonts w:ascii="Verdana" w:cs="Verdana" w:eastAsia="Verdana" w:hAnsi="Verdana"/>
          <w:smallCaps w:val="1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spacing w:after="0" w:line="240" w:lineRule="auto"/>
        <w:ind w:left="1080" w:firstLine="0"/>
        <w:rPr>
          <w:rFonts w:ascii="Verdana" w:cs="Verdana" w:eastAsia="Verdana" w:hAnsi="Verdana"/>
          <w:smallCaps w:val="1"/>
          <w:color w:val="ffffff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80" w:before="360" w:line="259" w:lineRule="auto"/>
        <w:rPr>
          <w:rFonts w:ascii="Helvetica Neue" w:cs="Helvetica Neue" w:eastAsia="Helvetica Neue" w:hAnsi="Helvetica Neue"/>
          <w:i w:val="0"/>
          <w:sz w:val="34"/>
          <w:szCs w:val="34"/>
        </w:rPr>
      </w:pPr>
      <w:bookmarkStart w:colFirst="0" w:colLast="0" w:name="_heading=h.cvqr658q2mtd" w:id="0"/>
      <w:bookmarkEnd w:id="0"/>
      <w:r w:rsidDel="00000000" w:rsidR="00000000" w:rsidRPr="00000000">
        <w:rPr>
          <w:rFonts w:ascii="Helvetica Neue" w:cs="Helvetica Neue" w:eastAsia="Helvetica Neue" w:hAnsi="Helvetica Neue"/>
          <w:i w:val="0"/>
          <w:sz w:val="34"/>
          <w:szCs w:val="34"/>
          <w:rtl w:val="0"/>
        </w:rPr>
        <w:t xml:space="preserve">1. Data Breach Policy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3u1hawdprm4t" w:id="1"/>
      <w:bookmarkEnd w:id="1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1.1 Purpose</w:t>
      </w:r>
    </w:p>
    <w:p w:rsidR="00000000" w:rsidDel="00000000" w:rsidP="00000000" w:rsidRDefault="00000000" w:rsidRPr="00000000" w14:paraId="0000003E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240" w:line="259" w:lineRule="auto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This policy establishes Zediant Technologies’ approach to identifying, managing, and reporting data breaches. It ensures protection of personal data, client data, and confidential information, while maintaining compliance with SOC 2 Type 2, GDPR, and applicable regulations.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unkwsk73e4ub" w:id="2"/>
      <w:bookmarkEnd w:id="2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1.2 Scope</w:t>
      </w:r>
    </w:p>
    <w:p w:rsidR="00000000" w:rsidDel="00000000" w:rsidP="00000000" w:rsidRDefault="00000000" w:rsidRPr="00000000" w14:paraId="00000040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240" w:line="259" w:lineRule="auto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This policy applies to:</w:t>
      </w:r>
    </w:p>
    <w:p w:rsidR="00000000" w:rsidDel="00000000" w:rsidP="00000000" w:rsidRDefault="00000000" w:rsidRPr="00000000" w14:paraId="00000041">
      <w:pPr>
        <w:widowControl w:val="1"/>
        <w:numPr>
          <w:ilvl w:val="0"/>
          <w:numId w:val="8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All employees, contractors, vendors, and third parties handling Zediant data.</w:t>
      </w:r>
    </w:p>
    <w:p w:rsidR="00000000" w:rsidDel="00000000" w:rsidP="00000000" w:rsidRDefault="00000000" w:rsidRPr="00000000" w14:paraId="00000042">
      <w:pPr>
        <w:widowControl w:val="1"/>
        <w:numPr>
          <w:ilvl w:val="0"/>
          <w:numId w:val="8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All categories of data (personal, financial, intellectual property, operational, and system data).</w:t>
      </w:r>
    </w:p>
    <w:p w:rsidR="00000000" w:rsidDel="00000000" w:rsidP="00000000" w:rsidRDefault="00000000" w:rsidRPr="00000000" w14:paraId="00000043">
      <w:pPr>
        <w:widowControl w:val="1"/>
        <w:numPr>
          <w:ilvl w:val="0"/>
          <w:numId w:val="8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All IT systems, SaaS platforms, and cloud-based environments.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qxahh9klmijm" w:id="3"/>
      <w:bookmarkEnd w:id="3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1.3 Definition of Data Breach</w:t>
      </w:r>
    </w:p>
    <w:p w:rsidR="00000000" w:rsidDel="00000000" w:rsidP="00000000" w:rsidRDefault="00000000" w:rsidRPr="00000000" w14:paraId="00000045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240" w:line="259" w:lineRule="auto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 data breach includes but is not limited to:</w:t>
      </w:r>
    </w:p>
    <w:p w:rsidR="00000000" w:rsidDel="00000000" w:rsidP="00000000" w:rsidRDefault="00000000" w:rsidRPr="00000000" w14:paraId="00000046">
      <w:pPr>
        <w:widowControl w:val="1"/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Unauthorized access or disclosure of data.</w:t>
      </w:r>
    </w:p>
    <w:p w:rsidR="00000000" w:rsidDel="00000000" w:rsidP="00000000" w:rsidRDefault="00000000" w:rsidRPr="00000000" w14:paraId="00000047">
      <w:pPr>
        <w:widowControl w:val="1"/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Loss or theft of devices containing sensitive information.</w:t>
      </w:r>
    </w:p>
    <w:p w:rsidR="00000000" w:rsidDel="00000000" w:rsidP="00000000" w:rsidRDefault="00000000" w:rsidRPr="00000000" w14:paraId="00000048">
      <w:pPr>
        <w:widowControl w:val="1"/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Accidental deletion or alteration of critical data.</w:t>
      </w:r>
    </w:p>
    <w:p w:rsidR="00000000" w:rsidDel="00000000" w:rsidP="00000000" w:rsidRDefault="00000000" w:rsidRPr="00000000" w14:paraId="00000049">
      <w:pPr>
        <w:widowControl w:val="1"/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Compromise of confidentiality, integrity, or availability of data.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cx4me76jtyz3" w:id="4"/>
      <w:bookmarkEnd w:id="4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1.4 Roles &amp; Responsibilities</w:t>
      </w:r>
    </w:p>
    <w:p w:rsidR="00000000" w:rsidDel="00000000" w:rsidP="00000000" w:rsidRDefault="00000000" w:rsidRPr="00000000" w14:paraId="0000004B">
      <w:pPr>
        <w:widowControl w:val="1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Incident Response Team (IRT):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Coordinates breach response, including IT, Compliance, Legal, and Communications.</w:t>
      </w:r>
    </w:p>
    <w:p w:rsidR="00000000" w:rsidDel="00000000" w:rsidP="00000000" w:rsidRDefault="00000000" w:rsidRPr="00000000" w14:paraId="0000004C">
      <w:pPr>
        <w:widowControl w:val="1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Data Protection Officer (DPO):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Oversees compliance, assesses notification requirements, and liaises with regulators.</w:t>
      </w:r>
    </w:p>
    <w:p w:rsidR="00000000" w:rsidDel="00000000" w:rsidP="00000000" w:rsidRDefault="00000000" w:rsidRPr="00000000" w14:paraId="0000004D">
      <w:pPr>
        <w:widowControl w:val="1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Employees: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Must immediately report suspected breaches to their manager or IT.</w:t>
      </w:r>
    </w:p>
    <w:p w:rsidR="00000000" w:rsidDel="00000000" w:rsidP="00000000" w:rsidRDefault="00000000" w:rsidRPr="00000000" w14:paraId="0000004E">
      <w:pPr>
        <w:widowControl w:val="1"/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Vendors/Partners: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Required to notify Zediant of any suspected breach related to shared data.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rsglq9dtt6jl" w:id="5"/>
      <w:bookmarkEnd w:id="5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1.5 Breach Response Process</w:t>
      </w:r>
    </w:p>
    <w:p w:rsidR="00000000" w:rsidDel="00000000" w:rsidP="00000000" w:rsidRDefault="00000000" w:rsidRPr="00000000" w14:paraId="00000050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Identification &amp; Reporting</w:t>
      </w:r>
    </w:p>
    <w:p w:rsidR="00000000" w:rsidDel="00000000" w:rsidP="00000000" w:rsidRDefault="00000000" w:rsidRPr="00000000" w14:paraId="00000051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Employees or third parties report suspected breaches immediately.</w:t>
      </w:r>
    </w:p>
    <w:p w:rsidR="00000000" w:rsidDel="00000000" w:rsidP="00000000" w:rsidRDefault="00000000" w:rsidRPr="00000000" w14:paraId="00000052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Preliminary Assessment</w:t>
      </w:r>
    </w:p>
    <w:p w:rsidR="00000000" w:rsidDel="00000000" w:rsidP="00000000" w:rsidRDefault="00000000" w:rsidRPr="00000000" w14:paraId="00000053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IRT determines scope, data involved, and impact.</w:t>
      </w:r>
    </w:p>
    <w:p w:rsidR="00000000" w:rsidDel="00000000" w:rsidP="00000000" w:rsidRDefault="00000000" w:rsidRPr="00000000" w14:paraId="00000054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Containment &amp; Mitigation</w:t>
      </w:r>
    </w:p>
    <w:p w:rsidR="00000000" w:rsidDel="00000000" w:rsidP="00000000" w:rsidRDefault="00000000" w:rsidRPr="00000000" w14:paraId="00000055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Isolate affected systems, revoke compromised credentials, apply patches.</w:t>
      </w:r>
    </w:p>
    <w:p w:rsidR="00000000" w:rsidDel="00000000" w:rsidP="00000000" w:rsidRDefault="00000000" w:rsidRPr="00000000" w14:paraId="00000056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Notification</w:t>
      </w:r>
    </w:p>
    <w:p w:rsidR="00000000" w:rsidDel="00000000" w:rsidP="00000000" w:rsidRDefault="00000000" w:rsidRPr="00000000" w14:paraId="00000057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Supervisory Authority: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Notify within 72 hours, with details of incident, scope, and remedial actions.</w:t>
      </w:r>
    </w:p>
    <w:p w:rsidR="00000000" w:rsidDel="00000000" w:rsidP="00000000" w:rsidRDefault="00000000" w:rsidRPr="00000000" w14:paraId="00000058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Data Subjects: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Inform affected individuals promptly with risks, actions, and Zediant’s contact info</w:t>
      </w:r>
    </w:p>
    <w:p w:rsidR="00000000" w:rsidDel="00000000" w:rsidP="00000000" w:rsidRDefault="00000000" w:rsidRPr="00000000" w14:paraId="00000059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Investigation &amp; Documentation</w:t>
      </w:r>
    </w:p>
    <w:p w:rsidR="00000000" w:rsidDel="00000000" w:rsidP="00000000" w:rsidRDefault="00000000" w:rsidRPr="00000000" w14:paraId="0000005A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Record root cause, incident details, and corrective measures</w:t>
      </w:r>
    </w:p>
    <w:p w:rsidR="00000000" w:rsidDel="00000000" w:rsidP="00000000" w:rsidRDefault="00000000" w:rsidRPr="00000000" w14:paraId="0000005B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Remediation</w:t>
      </w:r>
    </w:p>
    <w:p w:rsidR="00000000" w:rsidDel="00000000" w:rsidP="00000000" w:rsidRDefault="00000000" w:rsidRPr="00000000" w14:paraId="0000005C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Implement technical/organizational improvements (MFA, encryption, monitoring, staff training).</w:t>
      </w:r>
    </w:p>
    <w:p w:rsidR="00000000" w:rsidDel="00000000" w:rsidP="00000000" w:rsidRDefault="00000000" w:rsidRPr="00000000" w14:paraId="0000005D">
      <w:pPr>
        <w:widowControl w:val="1"/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Closure &amp; Post-Mortem</w:t>
      </w:r>
    </w:p>
    <w:p w:rsidR="00000000" w:rsidDel="00000000" w:rsidP="00000000" w:rsidRDefault="00000000" w:rsidRPr="00000000" w14:paraId="0000005E">
      <w:pPr>
        <w:widowControl w:val="1"/>
        <w:numPr>
          <w:ilvl w:val="1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Final review by DPO; lessons learned documented.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9d6sem5rknxb" w:id="6"/>
      <w:bookmarkEnd w:id="6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1.6 Evidence &amp; Recordkeeping</w:t>
      </w:r>
    </w:p>
    <w:p w:rsidR="00000000" w:rsidDel="00000000" w:rsidP="00000000" w:rsidRDefault="00000000" w:rsidRPr="00000000" w14:paraId="00000060">
      <w:pPr>
        <w:widowControl w:val="1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Breach Register: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Maintains details of all breaches (date, type, system, impact, notifications, closure).</w:t>
      </w:r>
    </w:p>
    <w:p w:rsidR="00000000" w:rsidDel="00000000" w:rsidP="00000000" w:rsidRDefault="00000000" w:rsidRPr="00000000" w14:paraId="00000061">
      <w:pPr>
        <w:widowControl w:val="1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Certificates of Destruction/Proof of Containment: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For affected data where applicable.</w:t>
      </w:r>
    </w:p>
    <w:p w:rsidR="00000000" w:rsidDel="00000000" w:rsidP="00000000" w:rsidRDefault="00000000" w:rsidRPr="00000000" w14:paraId="00000062">
      <w:pPr>
        <w:widowControl w:val="1"/>
        <w:numPr>
          <w:ilvl w:val="0"/>
          <w:numId w:val="4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Training Logs: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Evidence of staff awareness programs.</w:t>
      </w:r>
    </w:p>
    <w:p w:rsidR="00000000" w:rsidDel="00000000" w:rsidP="00000000" w:rsidRDefault="00000000" w:rsidRPr="00000000" w14:paraId="00000063">
      <w:pPr>
        <w:pStyle w:val="Heading2"/>
        <w:keepNext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80" w:before="360" w:line="259" w:lineRule="auto"/>
        <w:rPr>
          <w:rFonts w:ascii="Helvetica Neue" w:cs="Helvetica Neue" w:eastAsia="Helvetica Neue" w:hAnsi="Helvetica Neue"/>
          <w:i w:val="0"/>
          <w:sz w:val="34"/>
          <w:szCs w:val="34"/>
        </w:rPr>
      </w:pPr>
      <w:bookmarkStart w:colFirst="0" w:colLast="0" w:name="_heading=h.iw9v97ch19io" w:id="7"/>
      <w:bookmarkEnd w:id="7"/>
      <w:r w:rsidDel="00000000" w:rsidR="00000000" w:rsidRPr="00000000">
        <w:rPr>
          <w:rFonts w:ascii="Helvetica Neue" w:cs="Helvetica Neue" w:eastAsia="Helvetica Neue" w:hAnsi="Helvetica Neue"/>
          <w:i w:val="0"/>
          <w:sz w:val="34"/>
          <w:szCs w:val="34"/>
          <w:rtl w:val="0"/>
        </w:rPr>
        <w:t xml:space="preserve">2. Data Identification and Classification Policy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tcno2rgi36u8" w:id="8"/>
      <w:bookmarkEnd w:id="8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2.1 Purpose</w:t>
      </w:r>
    </w:p>
    <w:p w:rsidR="00000000" w:rsidDel="00000000" w:rsidP="00000000" w:rsidRDefault="00000000" w:rsidRPr="00000000" w14:paraId="00000065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240" w:line="259" w:lineRule="auto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This policy defines how Zediant identifies, classifies, and handles information assets. It ensures that data is managed according to its sensitivity, business value, and regulatory requirements, supporting SOC 2 Type 2 objectives for confidentiality and privacy.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4z7ztzjsv0w7" w:id="9"/>
      <w:bookmarkEnd w:id="9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2.2 Scope</w:t>
      </w:r>
    </w:p>
    <w:p w:rsidR="00000000" w:rsidDel="00000000" w:rsidP="00000000" w:rsidRDefault="00000000" w:rsidRPr="00000000" w14:paraId="00000067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240" w:line="259" w:lineRule="auto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Applies to:</w:t>
      </w:r>
    </w:p>
    <w:p w:rsidR="00000000" w:rsidDel="00000000" w:rsidP="00000000" w:rsidRDefault="00000000" w:rsidRPr="00000000" w14:paraId="00000068">
      <w:pPr>
        <w:widowControl w:val="1"/>
        <w:numPr>
          <w:ilvl w:val="0"/>
          <w:numId w:val="5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All Zediant data (structured and unstructured, physical and electronic).</w:t>
      </w:r>
    </w:p>
    <w:p w:rsidR="00000000" w:rsidDel="00000000" w:rsidP="00000000" w:rsidRDefault="00000000" w:rsidRPr="00000000" w14:paraId="00000069">
      <w:pPr>
        <w:widowControl w:val="1"/>
        <w:numPr>
          <w:ilvl w:val="0"/>
          <w:numId w:val="5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All business functions, SaaS platforms, cloud services, and third-party integrations.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c4uy9ussg7ew" w:id="10"/>
      <w:bookmarkEnd w:id="10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2.3 Classification Levels</w:t>
      </w:r>
    </w:p>
    <w:p w:rsidR="00000000" w:rsidDel="00000000" w:rsidP="00000000" w:rsidRDefault="00000000" w:rsidRPr="00000000" w14:paraId="0000006B">
      <w:pPr>
        <w:widowControl w:val="1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Confidential</w:t>
      </w:r>
    </w:p>
    <w:p w:rsidR="00000000" w:rsidDel="00000000" w:rsidP="00000000" w:rsidRDefault="00000000" w:rsidRPr="00000000" w14:paraId="0000006C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Data whose unauthorized disclosure could cause significant financial, reputational, or regulatory damage.</w:t>
      </w:r>
    </w:p>
    <w:p w:rsidR="00000000" w:rsidDel="00000000" w:rsidP="00000000" w:rsidRDefault="00000000" w:rsidRPr="00000000" w14:paraId="0000006D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Examples: Client contracts, financial records, personal data, source code.</w:t>
      </w:r>
    </w:p>
    <w:p w:rsidR="00000000" w:rsidDel="00000000" w:rsidP="00000000" w:rsidRDefault="00000000" w:rsidRPr="00000000" w14:paraId="0000006E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Controls: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Encryption (in transit &amp; at rest), MFA, access logging, least privilege.</w:t>
      </w:r>
    </w:p>
    <w:p w:rsidR="00000000" w:rsidDel="00000000" w:rsidP="00000000" w:rsidRDefault="00000000" w:rsidRPr="00000000" w14:paraId="0000006F">
      <w:pPr>
        <w:widowControl w:val="1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Internal Use Only</w:t>
      </w:r>
    </w:p>
    <w:p w:rsidR="00000000" w:rsidDel="00000000" w:rsidP="00000000" w:rsidRDefault="00000000" w:rsidRPr="00000000" w14:paraId="00000070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Data restricted to employees but not sensitive enough for Confidential classification.</w:t>
      </w:r>
    </w:p>
    <w:p w:rsidR="00000000" w:rsidDel="00000000" w:rsidP="00000000" w:rsidRDefault="00000000" w:rsidRPr="00000000" w14:paraId="00000071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Examples: Internal policies, project documentation, meeting notes.</w:t>
      </w:r>
    </w:p>
    <w:p w:rsidR="00000000" w:rsidDel="00000000" w:rsidP="00000000" w:rsidRDefault="00000000" w:rsidRPr="00000000" w14:paraId="00000072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Controls: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Access control, monitoring, no public sharing.</w:t>
      </w:r>
    </w:p>
    <w:p w:rsidR="00000000" w:rsidDel="00000000" w:rsidP="00000000" w:rsidRDefault="00000000" w:rsidRPr="00000000" w14:paraId="00000073">
      <w:pPr>
        <w:widowControl w:val="1"/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Public</w:t>
      </w:r>
    </w:p>
    <w:p w:rsidR="00000000" w:rsidDel="00000000" w:rsidP="00000000" w:rsidRDefault="00000000" w:rsidRPr="00000000" w14:paraId="00000074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Data approved for public disclosure.</w:t>
      </w:r>
    </w:p>
    <w:p w:rsidR="00000000" w:rsidDel="00000000" w:rsidP="00000000" w:rsidRDefault="00000000" w:rsidRPr="00000000" w14:paraId="00000075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Examples: Marketing material, published reports, website content.</w:t>
      </w:r>
    </w:p>
    <w:p w:rsidR="00000000" w:rsidDel="00000000" w:rsidP="00000000" w:rsidRDefault="00000000" w:rsidRPr="00000000" w14:paraId="00000076">
      <w:pPr>
        <w:widowControl w:val="1"/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144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Controls: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No confidentiality requirements, but integrity checks required.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4vljae1uj2hv" w:id="11"/>
      <w:bookmarkEnd w:id="11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2.4 Responsibilities</w:t>
      </w:r>
    </w:p>
    <w:p w:rsidR="00000000" w:rsidDel="00000000" w:rsidP="00000000" w:rsidRDefault="00000000" w:rsidRPr="00000000" w14:paraId="00000078">
      <w:pPr>
        <w:widowControl w:val="1"/>
        <w:numPr>
          <w:ilvl w:val="0"/>
          <w:numId w:val="1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Data Owners: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Classify data upon creation, review periodically, authorize disposal.</w:t>
      </w:r>
    </w:p>
    <w:p w:rsidR="00000000" w:rsidDel="00000000" w:rsidP="00000000" w:rsidRDefault="00000000" w:rsidRPr="00000000" w14:paraId="00000079">
      <w:pPr>
        <w:widowControl w:val="1"/>
        <w:numPr>
          <w:ilvl w:val="0"/>
          <w:numId w:val="1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IT Security: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Enforce access controls, maintain classification tags, monitor misuse.</w:t>
      </w:r>
    </w:p>
    <w:p w:rsidR="00000000" w:rsidDel="00000000" w:rsidP="00000000" w:rsidRDefault="00000000" w:rsidRPr="00000000" w14:paraId="0000007A">
      <w:pPr>
        <w:widowControl w:val="1"/>
        <w:numPr>
          <w:ilvl w:val="0"/>
          <w:numId w:val="1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Employees: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Follow handling requirements based on classification.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10e46pd5jkd7" w:id="12"/>
      <w:bookmarkEnd w:id="12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2.5 Data Handling Guidelines</w:t>
      </w:r>
    </w:p>
    <w:p w:rsidR="00000000" w:rsidDel="00000000" w:rsidP="00000000" w:rsidRDefault="00000000" w:rsidRPr="00000000" w14:paraId="0000007C">
      <w:pPr>
        <w:widowControl w:val="1"/>
        <w:numPr>
          <w:ilvl w:val="0"/>
          <w:numId w:val="7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Confidential Data: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Must be encrypted, shared only with authorized users, disposed of securely (per Data Disposal Policy).</w:t>
      </w:r>
    </w:p>
    <w:p w:rsidR="00000000" w:rsidDel="00000000" w:rsidP="00000000" w:rsidRDefault="00000000" w:rsidRPr="00000000" w14:paraId="0000007D">
      <w:pPr>
        <w:widowControl w:val="1"/>
        <w:numPr>
          <w:ilvl w:val="0"/>
          <w:numId w:val="7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Internal Data: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Shared only within Zediant network or via approved collaboration tools.</w:t>
      </w:r>
    </w:p>
    <w:p w:rsidR="00000000" w:rsidDel="00000000" w:rsidP="00000000" w:rsidRDefault="00000000" w:rsidRPr="00000000" w14:paraId="0000007E">
      <w:pPr>
        <w:widowControl w:val="1"/>
        <w:numPr>
          <w:ilvl w:val="0"/>
          <w:numId w:val="7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Public Data: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Published only after management approval to ensure accuracy.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rPr>
          <w:rFonts w:ascii="Helvetica Neue" w:cs="Helvetica Neue" w:eastAsia="Helvetica Neue" w:hAnsi="Helvetica Neue"/>
          <w:sz w:val="26"/>
          <w:szCs w:val="26"/>
        </w:rPr>
      </w:pPr>
      <w:bookmarkStart w:colFirst="0" w:colLast="0" w:name="_heading=h.tgnkmskx8sqd" w:id="13"/>
      <w:bookmarkEnd w:id="13"/>
      <w:r w:rsidDel="00000000" w:rsidR="00000000" w:rsidRPr="00000000">
        <w:rPr>
          <w:rFonts w:ascii="Helvetica Neue" w:cs="Helvetica Neue" w:eastAsia="Helvetica Neue" w:hAnsi="Helvetica Neue"/>
          <w:sz w:val="26"/>
          <w:szCs w:val="26"/>
          <w:rtl w:val="0"/>
        </w:rPr>
        <w:t xml:space="preserve">2.6 Monitoring &amp; Review</w:t>
      </w:r>
    </w:p>
    <w:p w:rsidR="00000000" w:rsidDel="00000000" w:rsidP="00000000" w:rsidRDefault="00000000" w:rsidRPr="00000000" w14:paraId="00000080">
      <w:pPr>
        <w:widowControl w:val="1"/>
        <w:numPr>
          <w:ilvl w:val="0"/>
          <w:numId w:val="6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Quarterly audits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of data classification accuracy.</w:t>
      </w:r>
    </w:p>
    <w:p w:rsidR="00000000" w:rsidDel="00000000" w:rsidP="00000000" w:rsidRDefault="00000000" w:rsidRPr="00000000" w14:paraId="00000081">
      <w:pPr>
        <w:widowControl w:val="1"/>
        <w:numPr>
          <w:ilvl w:val="0"/>
          <w:numId w:val="6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Annual review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of classification scheme.</w:t>
      </w:r>
    </w:p>
    <w:p w:rsidR="00000000" w:rsidDel="00000000" w:rsidP="00000000" w:rsidRDefault="00000000" w:rsidRPr="00000000" w14:paraId="00000082">
      <w:pPr>
        <w:widowControl w:val="1"/>
        <w:numPr>
          <w:ilvl w:val="0"/>
          <w:numId w:val="6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Automated tools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used for tagging and enforcing access restrictions.</w:t>
      </w:r>
    </w:p>
    <w:p w:rsidR="00000000" w:rsidDel="00000000" w:rsidP="00000000" w:rsidRDefault="00000000" w:rsidRPr="00000000" w14:paraId="00000083">
      <w:pPr>
        <w:pStyle w:val="Heading2"/>
        <w:keepNext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80" w:before="360" w:line="259" w:lineRule="auto"/>
        <w:rPr>
          <w:rFonts w:ascii="Helvetica Neue" w:cs="Helvetica Neue" w:eastAsia="Helvetica Neue" w:hAnsi="Helvetica Neue"/>
          <w:i w:val="0"/>
          <w:sz w:val="34"/>
          <w:szCs w:val="34"/>
        </w:rPr>
      </w:pPr>
      <w:bookmarkStart w:colFirst="0" w:colLast="0" w:name="_heading=h.hmmq7qc934d8" w:id="14"/>
      <w:bookmarkEnd w:id="14"/>
      <w:r w:rsidDel="00000000" w:rsidR="00000000" w:rsidRPr="00000000">
        <w:rPr>
          <w:rFonts w:ascii="Helvetica Neue" w:cs="Helvetica Neue" w:eastAsia="Helvetica Neue" w:hAnsi="Helvetica Neue"/>
          <w:i w:val="0"/>
          <w:sz w:val="34"/>
          <w:szCs w:val="34"/>
          <w:rtl w:val="0"/>
        </w:rPr>
        <w:t xml:space="preserve">3. Review and Maintenance</w:t>
      </w:r>
    </w:p>
    <w:p w:rsidR="00000000" w:rsidDel="00000000" w:rsidP="00000000" w:rsidRDefault="00000000" w:rsidRPr="00000000" w14:paraId="00000084">
      <w:pPr>
        <w:widowControl w:val="1"/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afterAutospacing="0" w:before="24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Both policies will be reviewed </w:t>
      </w: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annually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or following significant regulatory/organizational changes.</w:t>
      </w:r>
    </w:p>
    <w:p w:rsidR="00000000" w:rsidDel="00000000" w:rsidP="00000000" w:rsidRDefault="00000000" w:rsidRPr="00000000" w14:paraId="00000085">
      <w:pPr>
        <w:widowControl w:val="1"/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40" w:before="0" w:beforeAutospacing="0" w:line="259" w:lineRule="auto"/>
        <w:ind w:left="720" w:hanging="360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Updates require approval from the </w:t>
      </w:r>
      <w:r w:rsidDel="00000000" w:rsidR="00000000" w:rsidRPr="00000000">
        <w:rPr>
          <w:rFonts w:ascii="Helvetica Neue" w:cs="Helvetica Neue" w:eastAsia="Helvetica Neue" w:hAnsi="Helvetica Neue"/>
          <w:b w:val="1"/>
          <w:sz w:val="22"/>
          <w:szCs w:val="22"/>
          <w:rtl w:val="0"/>
        </w:rPr>
        <w:t xml:space="preserve">Director and Data Protection Officer (DPO)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86">
      <w:pPr>
        <w:widowControl w:val="1"/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xmlns:r="http://schemas.openxmlformats.org/officeDocument/2006/relationships" r:id="rId12" w:type="default"/>
      <w:headerReference xmlns:r="http://schemas.openxmlformats.org/officeDocument/2006/relationships" r:id="rId13" w:type="first"/>
      <w:footerReference xmlns:r="http://schemas.openxmlformats.org/officeDocument/2006/relationships" r:id="rId14" w:type="first"/>
      <w:footerReference xmlns:r="http://schemas.openxmlformats.org/officeDocument/2006/relationships" r:id="rId15" w:type="default"/>
      <w:pgSz w:h="16838" w:w="11906" w:orient="portrait"/>
      <w:pgMar w:header="0" w:bottom="1440" w:left="851" w:right="1133" w:top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Verdan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widowControl w:val="0"/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left"/>
    </w:pPr>
    <w:rPr>
      <w:rFonts w:ascii="Cambria" w:cs="Cambria" w:eastAsia="Cambria" w:hAnsi="Cambria"/>
      <w:b w:val="1"/>
      <w:i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center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7">
    <w:name w:val="heading 7"/>
    <w:basedOn w:val="Normal"/>
    <w:next w:val="Normal"/>
    <w:link w:val="Heading7Char"/>
    <w:unhideWhenUsed w:val="1"/>
    <w:qFormat w:val="1"/>
    <w:rsid w:val="00151C08"/>
    <w:pPr>
      <w:widowControl w:val="1"/>
      <w:tabs>
        <w:tab w:val="num" w:pos="1296"/>
      </w:tabs>
      <w:spacing w:after="60" w:before="240" w:line="240" w:lineRule="auto"/>
      <w:ind w:left="1296" w:hanging="1296"/>
      <w:outlineLvl w:val="6"/>
    </w:pPr>
    <w:rPr>
      <w:rFonts w:ascii="Arial" w:cs="Times New Roman" w:eastAsia="Times New Roman" w:hAnsi="Arial"/>
      <w:szCs w:val="20"/>
    </w:rPr>
  </w:style>
  <w:style w:type="paragraph" w:styleId="Heading8">
    <w:name w:val="heading 8"/>
    <w:basedOn w:val="Normal"/>
    <w:next w:val="Normal"/>
    <w:link w:val="Heading8Char"/>
    <w:semiHidden w:val="1"/>
    <w:unhideWhenUsed w:val="1"/>
    <w:qFormat w:val="1"/>
    <w:rsid w:val="00151C08"/>
    <w:pPr>
      <w:widowControl w:val="1"/>
      <w:tabs>
        <w:tab w:val="num" w:pos="1440"/>
      </w:tabs>
      <w:spacing w:after="60" w:before="240" w:line="240" w:lineRule="auto"/>
      <w:ind w:left="1440" w:hanging="1440"/>
      <w:outlineLvl w:val="7"/>
    </w:pPr>
    <w:rPr>
      <w:rFonts w:ascii="Arial" w:cs="Times New Roman" w:eastAsia="Times New Roman" w:hAnsi="Arial"/>
      <w:i w:val="1"/>
      <w:szCs w:val="20"/>
    </w:rPr>
  </w:style>
  <w:style w:type="paragraph" w:styleId="Heading9">
    <w:name w:val="heading 9"/>
    <w:basedOn w:val="Normal"/>
    <w:next w:val="Normal"/>
    <w:link w:val="Heading9Char"/>
    <w:semiHidden w:val="1"/>
    <w:unhideWhenUsed w:val="1"/>
    <w:qFormat w:val="1"/>
    <w:rsid w:val="00151C08"/>
    <w:pPr>
      <w:widowControl w:val="1"/>
      <w:tabs>
        <w:tab w:val="num" w:pos="1584"/>
      </w:tabs>
      <w:spacing w:after="60" w:before="240" w:line="240" w:lineRule="auto"/>
      <w:ind w:left="1584" w:hanging="1584"/>
      <w:outlineLvl w:val="8"/>
    </w:pPr>
    <w:rPr>
      <w:rFonts w:ascii="Arial" w:cs="Times New Roman" w:eastAsia="Times New Roman" w:hAnsi="Arial"/>
      <w:b w:val="1"/>
      <w:i w:val="1"/>
      <w:sz w:val="18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  <w:rsid w:val="0058608B"/>
  </w:style>
  <w:style w:type="table" w:styleId="a" w:customStyle="1">
    <w:basedOn w:val="TableNormal"/>
    <w:rsid w:val="0058608B"/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58608B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58608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58608B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440FD2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440FD2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40FD2"/>
  </w:style>
  <w:style w:type="paragraph" w:styleId="Footer">
    <w:name w:val="footer"/>
    <w:basedOn w:val="Normal"/>
    <w:link w:val="Foot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40FD2"/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40FD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40FD2"/>
    <w:rPr>
      <w:b w:val="1"/>
      <w:bCs w:val="1"/>
      <w:sz w:val="20"/>
      <w:szCs w:val="20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BE106C"/>
    <w:pPr>
      <w:tabs>
        <w:tab w:val="right" w:pos="9016"/>
      </w:tabs>
      <w:spacing w:after="100" w:line="240" w:lineRule="auto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440FD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 w:val="1"/>
    <w:rsid w:val="00440FD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 w:val="1"/>
    <w:rsid w:val="008625FB"/>
    <w:pPr>
      <w:ind w:left="720"/>
      <w:contextualSpacing w:val="1"/>
    </w:pPr>
  </w:style>
  <w:style w:type="character" w:styleId="Heading7Char" w:customStyle="1">
    <w:name w:val="Heading 7 Char"/>
    <w:basedOn w:val="DefaultParagraphFont"/>
    <w:link w:val="Heading7"/>
    <w:rsid w:val="00151C08"/>
    <w:rPr>
      <w:rFonts w:ascii="Arial" w:cs="Times New Roman" w:eastAsia="Times New Roman" w:hAnsi="Arial"/>
      <w:color w:val="auto"/>
      <w:sz w:val="24"/>
      <w:szCs w:val="20"/>
    </w:rPr>
  </w:style>
  <w:style w:type="character" w:styleId="Heading8Char" w:customStyle="1">
    <w:name w:val="Heading 8 Char"/>
    <w:basedOn w:val="DefaultParagraphFont"/>
    <w:link w:val="Heading8"/>
    <w:semiHidden w:val="1"/>
    <w:rsid w:val="00151C08"/>
    <w:rPr>
      <w:rFonts w:ascii="Arial" w:cs="Times New Roman" w:eastAsia="Times New Roman" w:hAnsi="Arial"/>
      <w:i w:val="1"/>
      <w:color w:val="auto"/>
      <w:sz w:val="24"/>
      <w:szCs w:val="20"/>
    </w:rPr>
  </w:style>
  <w:style w:type="character" w:styleId="Heading9Char" w:customStyle="1">
    <w:name w:val="Heading 9 Char"/>
    <w:basedOn w:val="DefaultParagraphFont"/>
    <w:link w:val="Heading9"/>
    <w:semiHidden w:val="1"/>
    <w:rsid w:val="00151C08"/>
    <w:rPr>
      <w:rFonts w:ascii="Arial" w:cs="Times New Roman" w:eastAsia="Times New Roman" w:hAnsi="Arial"/>
      <w:b w:val="1"/>
      <w:i w:val="1"/>
      <w:color w:val="auto"/>
      <w:sz w:val="18"/>
      <w:szCs w:val="20"/>
    </w:rPr>
  </w:style>
  <w:style w:type="character" w:styleId="TitleChar" w:customStyle="1">
    <w:name w:val="Title Char"/>
    <w:basedOn w:val="DefaultParagraphFont"/>
    <w:link w:val="Title"/>
    <w:rsid w:val="00151C08"/>
    <w:rPr>
      <w:rFonts w:ascii="Cambria" w:cs="Cambria" w:eastAsia="Cambria" w:hAnsi="Cambria"/>
      <w:b w:val="1"/>
      <w:sz w:val="32"/>
      <w:szCs w:val="32"/>
    </w:rPr>
  </w:style>
  <w:style w:type="character" w:styleId="BodyTextChar" w:customStyle="1">
    <w:name w:val="Body Text Char"/>
    <w:aliases w:val="bt Char"/>
    <w:basedOn w:val="DefaultParagraphFont"/>
    <w:link w:val="BodyText"/>
    <w:locked w:val="1"/>
    <w:rsid w:val="00151C08"/>
    <w:rPr>
      <w:noProof w:val="1"/>
      <w:sz w:val="24"/>
    </w:rPr>
  </w:style>
  <w:style w:type="paragraph" w:styleId="BodyText">
    <w:name w:val="Body Text"/>
    <w:aliases w:val="bt"/>
    <w:basedOn w:val="Normal"/>
    <w:link w:val="BodyTextChar"/>
    <w:unhideWhenUsed w:val="1"/>
    <w:rsid w:val="00151C08"/>
    <w:pPr>
      <w:widowControl w:val="1"/>
      <w:spacing w:after="0" w:before="120" w:line="240" w:lineRule="auto"/>
      <w:jc w:val="both"/>
    </w:pPr>
    <w:rPr>
      <w:noProof w:val="1"/>
    </w:rPr>
  </w:style>
  <w:style w:type="character" w:styleId="BodyTextChar1" w:customStyle="1">
    <w:name w:val="Body Text Char1"/>
    <w:basedOn w:val="DefaultParagraphFont"/>
    <w:uiPriority w:val="99"/>
    <w:semiHidden w:val="1"/>
    <w:rsid w:val="00151C08"/>
    <w:rPr>
      <w:sz w:val="24"/>
    </w:rPr>
  </w:style>
  <w:style w:type="paragraph" w:styleId="Bullet3" w:customStyle="1">
    <w:name w:val="Bullet3"/>
    <w:basedOn w:val="Normal"/>
    <w:rsid w:val="00151C08"/>
    <w:pPr>
      <w:widowControl w:val="1"/>
      <w:numPr>
        <w:numId w:val="1"/>
      </w:numPr>
      <w:tabs>
        <w:tab w:val="left" w:pos="1170"/>
      </w:tabs>
      <w:spacing w:after="0" w:before="120" w:line="240" w:lineRule="auto"/>
      <w:ind w:left="1170" w:hanging="450"/>
    </w:pPr>
    <w:rPr>
      <w:rFonts w:ascii="Times New Roman" w:cs="Times New Roman" w:eastAsia="Times New Roman" w:hAnsi="Times New Roman"/>
      <w:szCs w:val="20"/>
    </w:rPr>
  </w:style>
  <w:style w:type="paragraph" w:styleId="TableText" w:customStyle="1">
    <w:name w:val="Table Text"/>
    <w:basedOn w:val="Normal"/>
    <w:rsid w:val="00151C08"/>
    <w:pPr>
      <w:widowControl w:val="1"/>
      <w:spacing w:after="40" w:before="40" w:line="240" w:lineRule="auto"/>
    </w:pPr>
    <w:rPr>
      <w:rFonts w:ascii="Times New Roman" w:cs="Times New Roman" w:eastAsia="Times New Roman" w:hAnsi="Times New Roman"/>
      <w:sz w:val="22"/>
      <w:szCs w:val="20"/>
    </w:rPr>
  </w:style>
  <w:style w:type="paragraph" w:styleId="Bullet2over" w:customStyle="1">
    <w:name w:val="Bullet2 over"/>
    <w:basedOn w:val="Normal"/>
    <w:rsid w:val="00151C08"/>
    <w:pPr>
      <w:widowControl w:val="1"/>
      <w:tabs>
        <w:tab w:val="left" w:pos="36"/>
        <w:tab w:val="num" w:pos="720"/>
      </w:tabs>
      <w:spacing w:after="0" w:before="120" w:line="240" w:lineRule="auto"/>
      <w:ind w:left="720" w:hanging="720"/>
    </w:pPr>
    <w:rPr>
      <w:rFonts w:ascii="Times New Roman" w:cs="Times New Roman" w:eastAsia="Times New Roman" w:hAnsi="Times New Roman"/>
      <w:szCs w:val="2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151C08"/>
    <w:pPr>
      <w:spacing w:after="100"/>
      <w:ind w:left="480"/>
    </w:pPr>
  </w:style>
  <w:style w:type="paragraph" w:styleId="TOC7">
    <w:name w:val="toc 7"/>
    <w:basedOn w:val="Normal"/>
    <w:next w:val="Normal"/>
    <w:autoRedefine w:val="1"/>
    <w:uiPriority w:val="39"/>
    <w:unhideWhenUsed w:val="1"/>
    <w:rsid w:val="00944959"/>
    <w:pPr>
      <w:spacing w:after="100"/>
      <w:ind w:left="1440"/>
    </w:pPr>
  </w:style>
  <w:style w:type="table" w:styleId="TableGrid">
    <w:name w:val="Table Grid"/>
    <w:basedOn w:val="TableNormal"/>
    <w:uiPriority w:val="59"/>
    <w:rsid w:val="00CF3892"/>
    <w:pPr>
      <w:widowControl w:val="1"/>
      <w:spacing w:after="0" w:line="240" w:lineRule="auto"/>
    </w:pPr>
    <w:rPr>
      <w:rFonts w:cs="Times New Roman"/>
      <w:sz w:val="20"/>
      <w:szCs w:val="20"/>
    </w:r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table" w:styleId="a3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0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1">
    <w:basedOn w:val="TableNormal"/>
    <w:pPr>
      <w:ind w:left="1080"/>
    </w:pPr>
    <w:rPr>
      <w:rFonts w:ascii="Calibri" w:cs="Calibri" w:eastAsia="Calibri" w:hAnsi="Calibri"/>
      <w:sz w:val="22"/>
      <w:szCs w:val="22"/>
    </w:rPr>
    <w:tblPr>
      <w:tblStyleRowBandSize w:val="1"/>
      <w:tblStyleColBandSize w:val="1"/>
      <w:tblCellMar>
        <w:top w:w="113.0" w:type="dxa"/>
        <w:left w:w="108.0" w:type="dxa"/>
        <w:bottom w:w="57.0" w:type="dxa"/>
        <w:right w:w="108.0" w:type="dxa"/>
      </w:tblCellMar>
    </w:tblPr>
  </w:style>
  <w:style w:type="table" w:styleId="Table1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5d0JwiQT8gwcDSC6kFfHJuaZuA==">CgMxLjAyDmguY3ZxcjY1OHEybXRkMg5oLjN1MWhhd2Rwcm00dDIOaC51bmt3c2s3M2U0dWIyDmgucXhhaGg5a2xtaWptMg5oLmN4NG1lNzZqdHl6MzIOaC5yc2dscTlkdHQ2amwyDmguOWQ2c2VtNXJrbnhiMg5oLml3OXY5N2NoMTlpbzIOaC50Y25vMnJnaTM2dTgyDmguNHo3enR6anN2MHc3Mg5oLmM0dXk5dXNzZzdldzIOaC40dmxqYWUxdWoyaHYyDmguMTBlNDZwZDVqa2Q3Mg5oLnRnbmttc2t4OHNxZDIOaC5obW1xN3FjOTM0ZDg4AHIhMW5ycnRnVUZ4MkVDTG5KOFlDZjZaeDdVLVZsQm5rWjA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2023-02-03T05:46:00Z</dcterms:created>
  <dc:creator>BenayLap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e94840c61e951f91cd1e084f00c394d672d81606a99e7de7feaef5e327bf249a</vt:lpwstr>
  </property>
</Properties>
</file>