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ZEDIANT TECHNOLOGIES PVT. LTD.</w:t>
        <w:br/>
        <w:t>REMOTE WORKING AND TELEWORKING POLICY</w:t>
      </w:r>
    </w:p>
    <w:tbl>
      <w:tblPr>
        <w:tblStyle w:val="TableGrid"/>
        <w:tblW w:type="auto" w:w="0"/>
        <w:tblLook w:firstColumn="1" w:firstRow="1" w:lastColumn="0" w:lastRow="0" w:noHBand="0" w:noVBand="1" w:val="04A0"/>
      </w:tblPr>
      <w:tblGrid>
        <w:gridCol w:w="4320"/>
        <w:gridCol w:w="4320"/>
      </w:tblGrid>
      <w:tr>
        <w:tc>
          <w:tcPr>
            <w:tcW w:type="dxa" w:w="4320"/>
          </w:tcPr>
          <w:p>
            <w:r>
              <w:rPr>
                <w:b/>
              </w:rPr>
              <w:t>Policy Document ID</w:t>
            </w:r>
          </w:p>
        </w:tc>
        <w:tc>
          <w:tcPr>
            <w:tcW w:type="dxa" w:w="4320"/>
          </w:tcPr>
          <w:p>
            <w:r>
              <w:t>ZED-POL-HR-039</w:t>
            </w:r>
          </w:p>
        </w:tc>
      </w:tr>
      <w:tr>
        <w:tc>
          <w:tcPr>
            <w:tcW w:type="dxa" w:w="4320"/>
          </w:tcPr>
          <w:p>
            <w:r>
              <w:rPr>
                <w:b/>
              </w:rPr>
              <w:t>Document Version</w:t>
            </w:r>
          </w:p>
        </w:tc>
        <w:tc>
          <w:tcPr>
            <w:tcW w:type="dxa" w:w="4320"/>
          </w:tcPr>
          <w:p>
            <w:r>
              <w:t>v2.0 (Renewal 2025-2026)</w:t>
            </w:r>
          </w:p>
        </w:tc>
      </w:tr>
      <w:tr>
        <w:tc>
          <w:tcPr>
            <w:tcW w:type="dxa" w:w="4320"/>
          </w:tcPr>
          <w:p>
            <w:r>
              <w:rPr>
                <w:b/>
              </w:rPr>
              <w:t>Effective Audit Period</w:t>
            </w:r>
          </w:p>
        </w:tc>
        <w:tc>
          <w:tcPr>
            <w:tcW w:type="dxa" w:w="4320"/>
          </w:tcPr>
          <w:p>
            <w:r>
              <w:t>October 1, 2025 – September 30, 2026</w:t>
            </w:r>
          </w:p>
        </w:tc>
      </w:tr>
      <w:tr>
        <w:tc>
          <w:tcPr>
            <w:tcW w:type="dxa" w:w="4320"/>
          </w:tcPr>
          <w:p>
            <w:r>
              <w:rPr>
                <w:b/>
              </w:rPr>
              <w:t>Last Review Date</w:t>
            </w:r>
          </w:p>
        </w:tc>
        <w:tc>
          <w:tcPr>
            <w:tcW w:type="dxa" w:w="4320"/>
          </w:tcPr>
          <w:p>
            <w:r>
              <w:t>October 1, 2025</w:t>
            </w:r>
          </w:p>
        </w:tc>
      </w:tr>
      <w:tr>
        <w:tc>
          <w:tcPr>
            <w:tcW w:type="dxa" w:w="4320"/>
          </w:tcPr>
          <w:p>
            <w:r>
              <w:rPr>
                <w:b/>
              </w:rPr>
              <w:t>Approved By</w:t>
            </w:r>
          </w:p>
        </w:tc>
        <w:tc>
          <w:tcPr>
            <w:tcW w:type="dxa" w:w="4320"/>
          </w:tcPr>
          <w:p>
            <w:r>
              <w:t>Chief Information Security Officer (CISO) &amp; Management</w:t>
            </w:r>
          </w:p>
        </w:tc>
      </w:tr>
      <w:tr>
        <w:tc>
          <w:tcPr>
            <w:tcW w:type="dxa" w:w="4320"/>
          </w:tcPr>
          <w:p>
            <w:r>
              <w:rPr>
                <w:b/>
              </w:rPr>
              <w:t>Classification</w:t>
            </w:r>
          </w:p>
        </w:tc>
        <w:tc>
          <w:tcPr>
            <w:tcW w:type="dxa" w:w="4320"/>
          </w:tcPr>
          <w:p>
            <w:r>
              <w:t>Confidential - Internal &amp; Auditor Access Only</w:t>
            </w:r>
          </w:p>
        </w:tc>
      </w:tr>
    </w:tbl>
    <w:p/>
    <w:p>
      <w:pPr>
        <w:pStyle w:val="Heading1"/>
      </w:pPr>
      <w:r>
        <w:t>1. Purpose</w:t>
      </w:r>
    </w:p>
    <w:p>
      <w:r>
        <w:t>This policy establishes the formal requirements, controls, and operating standards for remote working and teleworking policy at Zediant Technologies Pvt. Ltd., aligned with AICPA SOC 2 Type 2 Trust Services Criteria.</w:t>
      </w:r>
    </w:p>
    <w:p>
      <w:pPr>
        <w:pStyle w:val="Heading1"/>
      </w:pPr>
      <w:r>
        <w:t>2. Scope</w:t>
      </w:r>
    </w:p>
    <w:p>
      <w:r>
        <w:t>This policy applies to all full-time employees, contractors, interns, vendors, infrastructure components, applications, and third-party systems operating within Zediant Technologies across the audit observation period.</w:t>
      </w:r>
    </w:p>
    <w:p>
      <w:pPr>
        <w:pStyle w:val="Heading1"/>
      </w:pPr>
      <w:r>
        <w:t>3. Policy Statements &amp; Operational Controls</w:t>
      </w:r>
    </w:p>
    <w:p>
      <w:pPr>
        <w:pStyle w:val="Heading2"/>
      </w:pPr>
      <w:r>
        <w:t>3.1 Eligibility &amp; Agreement</w:t>
      </w:r>
    </w:p>
    <w:p>
      <w:r>
        <w:t>Remote working arrangements require formal management approval and a signed Remote Working Agreement outlining security obligations.</w:t>
      </w:r>
    </w:p>
    <w:p>
      <w:pPr>
        <w:pStyle w:val="Heading2"/>
      </w:pPr>
      <w:r>
        <w:t>3.2 Device &amp; Network Security</w:t>
      </w:r>
    </w:p>
    <w:p>
      <w:r>
        <w:t>Remote employees must connect exclusively via company-issued, encrypted laptops. All connections to production or client infrastructure must route through approved, encrypted corporate VPN with MFA.</w:t>
      </w:r>
    </w:p>
    <w:p>
      <w:pPr>
        <w:pStyle w:val="Heading2"/>
      </w:pPr>
      <w:r>
        <w:t>3.3 Public Wi-Fi Restrictions</w:t>
      </w:r>
    </w:p>
    <w:p>
      <w:r>
        <w:t>Connecting to unsecured, public Wi-Fi networks without an active, secured VPN tunnel is strictly prohibited.</w:t>
      </w:r>
    </w:p>
    <w:p>
      <w:pPr>
        <w:pStyle w:val="Heading2"/>
      </w:pPr>
      <w:r>
        <w:t>3.4 Physical Confidentiality at Home</w:t>
      </w:r>
    </w:p>
    <w:p>
      <w:r>
        <w:t>Employees must ensure family members or visitors cannot view client or corporate screens or access company devices.</w:t>
      </w:r>
    </w:p>
    <w:p>
      <w:pPr>
        <w:pStyle w:val="Heading2"/>
      </w:pPr>
      <w:r>
        <w:t>3.5 Loss &amp; Theft Reporting</w:t>
      </w:r>
    </w:p>
    <w:p>
      <w:r>
        <w:t>Loss or theft of any remote device must be reported to the CISO within 2 hours to initiate remote wipe capabilities.</w:t>
      </w:r>
    </w:p>
    <w:p>
      <w:pPr>
        <w:pStyle w:val="Heading1"/>
      </w:pPr>
      <w:r>
        <w:t>4. Roles and Responsibilities</w:t>
      </w:r>
    </w:p>
    <w:p>
      <w:r>
        <w:t>• CISO / Information Security Lead: Responsible for policy enforcement, periodic audit compliance, and incident review.</w:t>
        <w:br/>
        <w:t>• Department Leads / HR: Responsible for operational implementation, employee awareness, and disciplinary handling.</w:t>
        <w:br/>
        <w:t>• All Staff: Mandatory adherence to this policy with documented annual sign-off.</w:t>
      </w:r>
    </w:p>
    <w:p>
      <w:pPr>
        <w:pStyle w:val="Heading1"/>
      </w:pPr>
      <w:r>
        <w:t>5. Annual Review &amp; Compliance Monitoring</w:t>
      </w:r>
    </w:p>
    <w:p>
      <w:r>
        <w:t>This policy is formally reviewed by executive leadership and the CISO at least annually, or upon significant architectural, operational, or legal changes. Violations are subject to disciplinary action up to and including termination of employment.</w:t>
      </w:r>
    </w:p>
    <w:sectPr w:rsidR="00FC693F" w:rsidRPr="0006063C" w:rsidSect="00034616">
      <w:headerReference xmlns:r="http://schemas.openxmlformats.org/officeDocument/2006/relationships" r:id="rId9" w:type="default"/>
      <w:headerReference xmlns:r="http://schemas.openxmlformats.org/officeDocument/2006/relationships" r:id="rId10" w:type="first"/>
      <w:footerReference xmlns:r="http://schemas.openxmlformats.org/officeDocument/2006/relationships" r:id="rId11" w:type="first"/>
      <w:footerReference xmlns:r="http://schemas.openxmlformats.org/officeDocument/2006/relationships" r:id="rId12" w:type="default"/>
      <w:pgSz w:w="12240" w:h="15840"/>
      <w:pgMar w:header="0" w:bottom="1440" w:left="851" w:right="1133" w:top="567" w:foo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3.xml><?xml version="1.0" encoding="utf-8"?>
<w:ftr xmlns:w="http://schemas.openxmlformats.org/wordprocessingml/2006/main">
  <w:p xmlns:w14="http://schemas.microsoft.com/office/word/2010/wordml" w:rsidR="00000000" w:rsidRDefault="00000000" w14:textId="00000000" w:rsidDel="00000000" w:rsidP="00000000" w:rsidRPr="00000000">
    <w:pPr>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50768</wp:posOffset>
          </wp:positionH>
          <wp:positionV relativeFrom="paragraph">
            <wp:posOffset>12668</wp:posOffset>
          </wp:positionV>
          <wp:extent cx="6296025" cy="95250"/>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6296025" cy="95250"/>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0</wp:posOffset>
          </wp:positionH>
          <wp:positionV relativeFrom="paragraph">
            <wp:posOffset>139731</wp:posOffset>
          </wp:positionV>
          <wp:extent cx="2876550"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2876550" cy="714375"/>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3632168</wp:posOffset>
          </wp:positionH>
          <wp:positionV relativeFrom="paragraph">
            <wp:posOffset>88868</wp:posOffset>
          </wp:positionV>
          <wp:extent cx="2638425"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2638425" cy="714375"/>
                  </a:xfrm>
                  <a:prstGeom prst="rect"/>
                </pic:spPr>
              </pic:pic>
            </a:graphicData>
          </a:graphic>
        </wp:anchor>
      </w:drawing>
    </w:r>
  </w:p>
  <w:p xmlns:w14="http://schemas.microsoft.com/office/word/2010/wordml" w:rsidR="00000000" w:rsidRDefault="00000000" w14:textId="00000000" w:rsidDel="00000000" w:rsidP="00000000" w:rsidRPr="00000000">
    <w:pPr>
      <w:spacing w:lineRule="auto" w:after="908"/>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rPr>
        <w:color w:val="000000"/>
        <w:sz w:val="22"/>
      </w:rPr>
      <w:t xml:space="preserve">Zediant Technologies</w:t>
    </w:r>
    <w:r w:rsidR="00000000" w:rsidDel="00000000" w:rsidRPr="00000000">
      <w:br w:type="line"/>
    </w:r>
    <w:r w:rsidR="00000000" w:rsidDel="00000000" w:rsidRPr="00000000">
      <w:rPr>
        <w:color w:val="000000"/>
        <w:sz w:val="22"/>
      </w:rPr>
      <w:t xml:space="preserve">CD-234, Salt Lake City, Kolkata - 700064</w:t>
    </w:r>
    <w:r w:rsidR="00000000" w:rsidDel="00000000" w:rsidRPr="00000000">
      <w:rPr/>
      <w:tab/>
    </w:r>
    <w:r w:rsidR="00000000" w:rsidDel="00000000" w:rsidRPr="00000000">
      <w:rPr>
        <w:color w:val="000000"/>
        <w:sz w:val="22"/>
      </w:rPr>
      <w:t xml:space="preserve">             </w:t>
    </w:r>
  </w:p>
</w:ftr>
</file>

<file path=word/footer4.xml><?xml version="1.0" encoding="utf-8"?>
<w:ftr xmlns:w="http://schemas.openxmlformats.org/wordprocessingml/2006/main">
  <w:p xmlns:w14="http://schemas.microsoft.com/office/word/2010/wordml" w:rsidR="00000000" w:rsidRDefault="00000000" w14:textId="00000000" w:rsidDel="00000000" w:rsidP="00000000" w:rsidRPr="00000000">
    <w:pPr>
      <w:rPr>
        <w:rFonts w:ascii="Open Sans Regular" w:eastAsia="Open Sans Regular" w:hAnsi="Open Sans Regular" w:cs="Open Sans Regular"/>
        <w:sz w:val="16"/>
      </w:rPr>
      <w:widowControl w:val="1"/>
    </w:pPr>
  </w:p>
  <w:tbl>
    <w:tblPr>
      <w:tblStyle w:val="7893464"/>
      <w:tblW w:w="9924" w:type="dxa"/>
      <w:tblLayout w:type="fixed"/>
      <w:tblLook w:val="00000600"/>
    </w:tblPr>
    <w:tblGrid>
      <w:gridCol w:w="3308"/>
      <w:gridCol w:w="3308"/>
      <w:gridCol w:w="3308"/>
    </w:tblGrid>
    <w:tr>
      <w:trPr/>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top"/>
        </w:tcPr>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Zediant Technologies</w:t>
          </w:r>
        </w:p>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Ergo Tower, 4th Floor, Unit 402, </w:t>
          </w:r>
        </w:p>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Salt Lake City, Sector-V, Kolkata-91</w:t>
          </w: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center"/>
            <w:widowControl w:val="1"/>
          </w:pP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right"/>
            <w:widowControl w:val="1"/>
          </w:pPr>
          <w:r w:rsidR="00000000" w:rsidDel="00000000" w:rsidRPr="00000000">
            <w:rPr>
              <w:rFonts w:ascii="Open Sans Regular" w:eastAsia="Open Sans Regular" w:hAnsi="Open Sans Regular" w:cs="Open Sans Regular"/>
              <w:sz w:val="16"/>
            </w:rPr>
            <w:t xml:space="preserve">www.zediant.com</w:t>
          </w:r>
        </w:p>
      </w:tc>
    </w:tr>
  </w:tbl>
  <w:p xmlns:w14="http://schemas.microsoft.com/office/word/2010/wordml" w:rsidR="00000000" w:rsidRDefault="00000000" w14:textId="00000000" w:rsidDel="00000000" w:rsidP="00000000" w:rsidRPr="00000000">
    <w:pPr>
      <w:spacing w:after="0" w:before="0"/>
      <w:r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after="0"/>
      <w:rPr>
        <w:rFonts w:ascii="Open Sans Regular" w:eastAsia="Open Sans Regular" w:hAnsi="Open Sans Regular" w:cs="Open Sans Regular"/>
        <w:color w:val="000000" w:themeColor="text1" w:themeTint="7F"/>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p>
  <w:p xmlns:w14="http://schemas.microsoft.com/office/word/2010/wordml" w:rsidR="00000000" w:rsidRDefault="00000000" w14:textId="00000000" w:rsidDel="00000000" w:rsidP="00000000" w:rsidRPr="00000000">
    <w:pPr>
      <w:rPr>
        <w:rFonts w:ascii="Open Sans Regular" w:eastAsia="Open Sans Regular" w:hAnsi="Open Sans Regular" w:cs="Open Sans Regular"/>
      </w:rPr>
      <w:widowControl w:val="1"/>
    </w:pPr>
    <w:r w:rsidR="00000000" w:rsidDel="00000000" w:rsidRPr="00000000">
      <w:drawing>
        <wp:inline xmlns:wp="http://schemas.openxmlformats.org/drawingml/2006/wordprocessingDrawing" distT="0" distR="0" distB="0" distL="0">
          <wp:extent cx="1447800" cy="561975"/>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alphaModFix amt="100000"/>
                  </a:blip>
                  <a:srcRect l="0" r="0" t="0" b="0"/>
                  <a:stretch xmlns:xsi="http://www.w3.org/2001/XMLSchema-instance" xsi:nil="true"/>
                </pic:blipFill>
                <pic:spPr>
                  <a:xfrm>
                    <a:off x="0" y="0"/>
                    <a:ext cx="1447800" cy="5619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pict>
        <v:rect xmlns:v="urn:schemas-microsoft-com:vml" xmlns:o="urn:schemas-microsoft-com:office:office" filled="f" fillcolor="#ffffff" strokecolor="#808080" strokeweight="1pt" id="_x0000_i1025" style="width:0pt;height:1pt;position:absolute;margin-left:0;margin-top:0;visibility:visible;mso-wrap-style:square;mso-width-percent:0;mso-height-percent:0;mso-wrap-distance-left:9pt;mso-wrap-distance-top:0;mso-wrap-distance-right:9pt;mso-wrap-distance-bottom:0;mso-position-horizontal:left;mso-position-horizontal-relative:text;mso-position-vertical:top;mso-position-vertical-relative:line;mso-width-percent:0;mso-height-percent:0;mso-width-relative:margin;mso-height-relative:margin;v-text-anchor:middle" o:hralign="left" o:hr="t">
          <v:stroke dashstyle="solid"/>
        </v:rect>
      </w:pict>
    </w:r>
  </w:p>
  <w:p xmlns:w14="http://schemas.microsoft.com/office/word/2010/wordml" w:rsidR="00000000" w:rsidRDefault="00000000" w14:textId="00000000" w:rsidDel="00000000" w:rsidP="00000000" w:rsidRPr="00000000">
    <w:pPr>
      <w:spacing w:line="360" w:lineRule="auto" w:after="0"/>
      <w:rPr>
        <w:rFonts w:ascii="Helvetica Neue" w:eastAsia="Helvetica Neue" w:hAnsi="Helvetica Neue" w:cs="Helvetica Neue"/>
        <w:sz w:val="16"/>
      </w:rPr>
      <w:pBdr>
        <w:top w:val="none" w:color="000000" w:sz="0" w:space="0"/>
        <w:left w:val="none" w:color="000000" w:sz="0" w:space="0"/>
        <w:bottom w:val="none" w:color="000000" w:sz="0" w:space="0"/>
        <w:right w:val="none" w:color="000000" w:sz="0" w:space="0"/>
        <w:between w:val="none" w:color="000000" w:sz="0" w:space="0"/>
      </w:pBdr>
      <w:tabs>
        <w:tab w:pos="1923" w:val="left" w:leader="none"/>
      </w:tabs>
      <w:widowControl w:val="1"/>
    </w:pPr>
  </w:p>
</w:hdr>
</file>

<file path=word/header2.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before="708"/>
      <w:rPr>
        <w:color w:val="000000"/>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inline xmlns:wp="http://schemas.openxmlformats.org/drawingml/2006/wordprocessingDrawing" distT="0" distR="0" distB="0" distL="0">
          <wp:extent cx="1085850" cy="419100"/>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1085850" cy="419100"/>
                  </a:xfrm>
                  <a:prstGeom prst="rect"/>
                </pic:spPr>
              </pic:pic>
            </a:graphicData>
          </a:graphic>
        </wp:inline>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114300</wp:posOffset>
          </wp:positionH>
          <wp:positionV relativeFrom="paragraph">
            <wp:posOffset>0</wp:posOffset>
          </wp:positionV>
          <wp:extent cx="1457325" cy="561975"/>
          <wp:wrapSquare wrapText="bothSides">
            <wp:distT msDistT="0"/>
            <wp:distB msDistB="0"/>
            <wp:distR msDistR="0"/>
            <wp:distL msDistL="0"/>
          </wp:wrapSquar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1457325" cy="561975"/>
                  </a:xfrm>
                  <a:prstGeom prst="rect"/>
                </pic:spPr>
              </pic:pic>
            </a:graphicData>
          </a:graphic>
        </wp:anchor>
      </w:drawing>
    </w:r>
    <w:r w:rsidR="00000000" w:rsidDel="00000000" w:rsidRPr="00000000">
      <w:rPr/>
      <w:tab/>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25431</wp:posOffset>
          </wp:positionH>
          <wp:positionV relativeFrom="paragraph">
            <wp:posOffset>850868</wp:posOffset>
          </wp:positionV>
          <wp:extent cx="6353175" cy="666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6353175" cy="66675"/>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footer" Target="footer4.xml"/></Relationships>
</file>

<file path=word/_rels/footer3.xml.rels><?xml version='1.0' encoding='UTF-8' standalone='yes'?>
<Relationships xmlns="http://schemas.openxmlformats.org/package/2006/relationships"><Relationship Id="rId1" Type="http://schemas.openxmlformats.org/officeDocument/2006/relationships/image" Target="media/je6K0OmXo0VKSMs4Fv.png"/><Relationship Id="rId2" Type="http://schemas.openxmlformats.org/officeDocument/2006/relationships/image" Target="media/02jMn1uAdpmXYHQr7W.png"/><Relationship Id="rId3" Type="http://schemas.openxmlformats.org/officeDocument/2006/relationships/image" Target="media/2ylhVhWslYEYAsybq2.png"/></Relationships>
</file>

<file path=word/_rels/header1.xml.rels><?xml version='1.0' encoding='UTF-8' standalone='yes'?>
<Relationships xmlns="http://schemas.openxmlformats.org/package/2006/relationships"><Relationship Id="rId1" Type="http://schemas.openxmlformats.org/officeDocument/2006/relationships/image" Target="media/pSvq1tuXF72l2c3yev.png"/></Relationships>
</file>

<file path=word/_rels/header2.xml.rels><?xml version='1.0' encoding='UTF-8' standalone='yes'?>
<Relationships xmlns="http://schemas.openxmlformats.org/package/2006/relationships"><Relationship Id="rId1" Type="http://schemas.openxmlformats.org/officeDocument/2006/relationships/image" Target="media/XS2oVf8ywzsC44d72N.png"/><Relationship Id="rId2" Type="http://schemas.openxmlformats.org/officeDocument/2006/relationships/image" Target="media/d8sUbVsKlnbTvVufqd.png"/><Relationship Id="rId3" Type="http://schemas.openxmlformats.org/officeDocument/2006/relationships/image" Target="media/htyGn1ZJ7uOCkPKKx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