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18"/>
        </w:rPr>
        <w:t>DRAFT — OWNER VALIDATION AND AUTHORIZED APPROVAL REQUIRED</w:t>
      </w:r>
    </w:p>
    <w:p>
      <w:pPr>
        <w:pStyle w:val="Title"/>
        <w:jc w:val="center"/>
      </w:pPr>
      <w:r>
        <w:t>CODE OF CONDUCT POLICY</w:t>
      </w:r>
    </w:p>
    <w:tbl>
      <w:tblPr>
        <w:tblStyle w:val="TableGrid"/>
        <w:tblW w:type="auto" w:w="0"/>
        <w:tblLook w:firstColumn="1" w:firstRow="1" w:lastColumn="0" w:lastRow="0" w:noHBand="0" w:noVBand="1" w:val="04A0"/>
      </w:tblPr>
      <w:tblGrid>
        <w:gridCol w:w="5128"/>
        <w:gridCol w:w="5128"/>
      </w:tblGrid>
      <w:tr>
        <w:tc>
          <w:tcPr>
            <w:tcW w:type="dxa" w:w="5128"/>
          </w:tcPr>
          <w:p>
            <w:r>
              <w:t>Document owner</w:t>
            </w:r>
          </w:p>
        </w:tc>
        <w:tc>
          <w:tcPr>
            <w:tcW w:type="dxa" w:w="5128"/>
          </w:tcPr>
          <w:p>
            <w:r>
              <w:t>Assign by management</w:t>
            </w:r>
          </w:p>
        </w:tc>
      </w:tr>
      <w:tr>
        <w:tc>
          <w:tcPr>
            <w:tcW w:type="dxa" w:w="5128"/>
          </w:tcPr>
          <w:p>
            <w:r>
              <w:t>Version</w:t>
            </w:r>
          </w:p>
        </w:tc>
        <w:tc>
          <w:tcPr>
            <w:tcW w:type="dxa" w:w="5128"/>
          </w:tcPr>
          <w:p>
            <w:r>
              <w:t>Assign after review</w:t>
            </w:r>
          </w:p>
        </w:tc>
      </w:tr>
      <w:tr>
        <w:tc>
          <w:tcPr>
            <w:tcW w:type="dxa" w:w="5128"/>
          </w:tcPr>
          <w:p>
            <w:r>
              <w:t>Effective date</w:t>
            </w:r>
          </w:p>
        </w:tc>
        <w:tc>
          <w:tcPr>
            <w:tcW w:type="dxa" w:w="5128"/>
          </w:tcPr>
          <w:p>
            <w:r>
              <w:t>Enter actual authorized date; do not backdate</w:t>
            </w:r>
          </w:p>
        </w:tc>
      </w:tr>
      <w:tr>
        <w:tc>
          <w:tcPr>
            <w:tcW w:type="dxa" w:w="5128"/>
          </w:tcPr>
          <w:p>
            <w:r>
              <w:t>Approved by</w:t>
            </w:r>
          </w:p>
        </w:tc>
        <w:tc>
          <w:tcPr>
            <w:tcW w:type="dxa" w:w="5128"/>
          </w:tcPr>
          <w:p>
            <w:r>
              <w:t>Authorized approver to complete</w:t>
            </w:r>
          </w:p>
        </w:tc>
      </w:tr>
    </w:tbl>
    <w:p>
      <w:pPr>
        <w:pStyle w:val="Heading1"/>
      </w:pPr>
      <w:r>
        <w:t>1. Purpose and scope</w:t>
      </w:r>
    </w:p>
    <w:p>
      <w:r>
        <w:t>Set expected standards of integrity, respectful conduct, confidentiality, and responsible use of company and customer information for employees and other personnel acting for Zediant.</w:t>
      </w:r>
    </w:p>
    <w:p>
      <w:pPr>
        <w:pStyle w:val="Heading1"/>
      </w:pPr>
      <w:r>
        <w:t>2. Expected conduct</w:t>
      </w:r>
    </w:p>
    <w:p>
      <w:r>
        <w:t>Personnel must act honestly, comply with approved policies and applicable obligations, protect confidential information and intellectual property, use access only for assigned duties, maintain accurate business records, and avoid discrimination, harassment, retaliation, fraud, bribery, and misuse of assets.</w:t>
      </w:r>
    </w:p>
    <w:p>
      <w:pPr>
        <w:pStyle w:val="Heading1"/>
      </w:pPr>
      <w:r>
        <w:t>3. Conflicts of interest</w:t>
      </w:r>
    </w:p>
    <w:p>
      <w:r>
        <w:t>Disclose actual, potential, or perceived conflicts promptly to the designated manager or HR. The organization must document the assessment and any safeguards. Personnel must not make or influence a decision where their personal interest could impair impartial judgment.</w:t>
      </w:r>
    </w:p>
    <w:p>
      <w:pPr>
        <w:pStyle w:val="Heading1"/>
      </w:pPr>
      <w:r>
        <w:t>4. Reporting and response</w:t>
      </w:r>
    </w:p>
    <w:p>
      <w:r>
        <w:t>Report suspected misconduct through the designated management, HR, security, or whistleblowing channel. Reports made in good faith must be handled confidentially to the extent practicable and without retaliation. Concerns must be assessed and documented under the applicable investigation procedure.</w:t>
      </w:r>
    </w:p>
    <w:p>
      <w:pPr>
        <w:pStyle w:val="Heading1"/>
      </w:pPr>
      <w:r>
        <w:t>5. Acknowledgment and records</w:t>
      </w:r>
    </w:p>
    <w:p>
      <w:r>
        <w:t>HR must define and retain acknowledgment evidence at onboarding and when a material policy revision requires renewed acknowledgment. Do not represent annual attestations as completed unless records support that statement.</w:t>
      </w:r>
    </w:p>
    <w:p>
      <w:pPr>
        <w:pStyle w:val="Heading1"/>
      </w:pPr>
      <w:r>
        <w:t>6. Accountability</w:t>
      </w:r>
    </w:p>
    <w:p>
      <w:r>
        <w:t>Violations may result in proportionate corrective action under the disciplinary procedure and applicable law. Management approves this policy; HR and the security owner communicate it and retain distribution and acknowledgment records.</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