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jc w:val="center"/>
      </w:pPr>
      <w:r>
        <w:rPr>
          <w:b/>
          <w:sz w:val="18"/>
        </w:rPr>
        <w:t>DRAFT — OWNER VALIDATION AND AUTHORIZED APPROVAL REQUIRED</w:t>
      </w:r>
    </w:p>
    <w:p>
      <w:pPr>
        <w:pStyle w:val="Title"/>
        <w:jc w:val="center"/>
      </w:pPr>
      <w:r>
        <w:t>DATA COLLECTION AND PRIVACY HANDLING POLICY</w:t>
      </w:r>
    </w:p>
    <w:tbl>
      <w:tblPr>
        <w:tblStyle w:val="TableGrid"/>
        <w:tblW w:type="auto" w:w="0"/>
        <w:tblLook w:firstColumn="1" w:firstRow="1" w:lastColumn="0" w:lastRow="0" w:noHBand="0" w:noVBand="1" w:val="04A0"/>
      </w:tblPr>
      <w:tblGrid>
        <w:gridCol w:w="4961"/>
        <w:gridCol w:w="4961"/>
      </w:tblGrid>
      <w:tr>
        <w:tc>
          <w:tcPr>
            <w:tcW w:type="dxa" w:w="4961"/>
          </w:tcPr>
          <w:p>
            <w:r>
              <w:t>Document owner</w:t>
            </w:r>
          </w:p>
        </w:tc>
        <w:tc>
          <w:tcPr>
            <w:tcW w:type="dxa" w:w="4961"/>
          </w:tcPr>
          <w:p>
            <w:r>
              <w:t>Assign by management</w:t>
            </w:r>
          </w:p>
        </w:tc>
      </w:tr>
      <w:tr>
        <w:tc>
          <w:tcPr>
            <w:tcW w:type="dxa" w:w="4961"/>
          </w:tcPr>
          <w:p>
            <w:r>
              <w:t>Version</w:t>
            </w:r>
          </w:p>
        </w:tc>
        <w:tc>
          <w:tcPr>
            <w:tcW w:type="dxa" w:w="4961"/>
          </w:tcPr>
          <w:p>
            <w:r>
              <w:t>Assign after review</w:t>
            </w:r>
          </w:p>
        </w:tc>
      </w:tr>
      <w:tr>
        <w:tc>
          <w:tcPr>
            <w:tcW w:type="dxa" w:w="4961"/>
          </w:tcPr>
          <w:p>
            <w:r>
              <w:t>Effective date</w:t>
            </w:r>
          </w:p>
        </w:tc>
        <w:tc>
          <w:tcPr>
            <w:tcW w:type="dxa" w:w="4961"/>
          </w:tcPr>
          <w:p>
            <w:r>
              <w:t>Enter actual authorized date; do not backdate</w:t>
            </w:r>
          </w:p>
        </w:tc>
      </w:tr>
      <w:tr>
        <w:tc>
          <w:tcPr>
            <w:tcW w:type="dxa" w:w="4961"/>
          </w:tcPr>
          <w:p>
            <w:r>
              <w:t>Approved by</w:t>
            </w:r>
          </w:p>
        </w:tc>
        <w:tc>
          <w:tcPr>
            <w:tcW w:type="dxa" w:w="4961"/>
          </w:tcPr>
          <w:p>
            <w:r>
              <w:t>Authorized approver to complete</w:t>
            </w:r>
          </w:p>
        </w:tc>
      </w:tr>
    </w:tbl>
    <w:p>
      <w:pPr>
        <w:pStyle w:val="Heading1"/>
      </w:pPr>
      <w:r>
        <w:t>1. Purpose and scope</w:t>
      </w:r>
    </w:p>
    <w:p>
      <w:r>
        <w:t>Set requirements for collecting and handling personal information by Zediant personnel and service providers acting on its behalf. Apply the stricter contractual or legal requirement where applicable; obtain privacy/legal review when applicability is uncertain.</w:t>
      </w:r>
    </w:p>
    <w:p>
      <w:pPr>
        <w:pStyle w:val="Heading1"/>
      </w:pPr>
      <w:r>
        <w:t>2. Collection requirements</w:t>
      </w:r>
    </w:p>
    <w:p>
      <w:r>
        <w:t>Collect personal information only for a defined and authorized business purpose, using a lawful basis and notice/consent where required. Limit collection to the minimum information needed. Do not repurpose information incompatibly or collect sensitive information without documented authorization and safeguards.</w:t>
      </w:r>
    </w:p>
    <w:p>
      <w:pPr>
        <w:pStyle w:val="Heading1"/>
      </w:pPr>
      <w:r>
        <w:t>3. Responsibilities</w:t>
      </w:r>
    </w:p>
    <w:p>
      <w:r>
        <w:t>The business owner defines purpose and access need; HR manages workforce information; the designated privacy/security owner advises on safeguards and incidents; IT implements approved technical controls; management assigns accountable owners and approves material exceptions.</w:t>
      </w:r>
    </w:p>
    <w:p>
      <w:pPr>
        <w:pStyle w:val="Heading1"/>
      </w:pPr>
      <w:r>
        <w:t>4. Access, use, and quality</w:t>
      </w:r>
    </w:p>
    <w:p>
      <w:r>
        <w:t>Restrict access by role and need to know. Use information only for the approved purpose. Protect it from unauthorized access, disclosure, alteration, and loss. Correct inaccurate information when identified and maintain records of material collection and use where required.</w:t>
      </w:r>
    </w:p>
    <w:p>
      <w:pPr>
        <w:pStyle w:val="Heading1"/>
      </w:pPr>
      <w:r>
        <w:t>5. Retention and individual requests</w:t>
      </w:r>
    </w:p>
    <w:p>
      <w:r>
        <w:t>Retain information only for the approved schedule or documented legal/contractual hold. Route access, correction, deletion, objection, or other data-subject requests to the designated privacy contact and track assessment, response, and closure within applicable deadlines.</w:t>
      </w:r>
    </w:p>
    <w:p>
      <w:pPr>
        <w:pStyle w:val="Heading1"/>
      </w:pPr>
      <w:r>
        <w:t>6. Third parties and incidents</w:t>
      </w:r>
    </w:p>
    <w:p>
      <w:r>
        <w:t>Before a service provider processes personal information, complete required risk and contract review, define permitted processing, confidentiality, safeguards, incident notice, return/deletion, and audit cooperation. Escalate suspected privacy incidents promptly under the incident procedure.</w:t>
      </w:r>
    </w:p>
    <w:p>
      <w:pPr>
        <w:pStyle w:val="Heading1"/>
      </w:pPr>
      <w:r>
        <w:t>7. Records and review</w:t>
      </w:r>
    </w:p>
    <w:p>
      <w:r>
        <w:t>Retain notices, approvals, assessments, data requests, processor terms, and incident records as applicable. Review this policy annually and after material changes. Management approval and the effective date must reflect actual authorization.</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PPdlLxE7DWuhFBWm9yTyWclSA==">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