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DRAFT — OWNER VALIDATION AND AUTHORIZED APPROVAL REQUIRED</w:t>
      </w:r>
    </w:p>
    <w:p>
      <w:pPr>
        <w:pStyle w:val="Title"/>
        <w:jc w:val="center"/>
      </w:pPr>
      <w:r>
        <w:t>ASSET MANAGEMENT POLICY</w:t>
      </w:r>
    </w:p>
    <w:tbl>
      <w:tblPr>
        <w:tblStyle w:val="TableGrid"/>
        <w:tblW w:type="auto" w:w="0"/>
        <w:tblLook w:firstColumn="1" w:firstRow="1" w:lastColumn="0" w:lastRow="0" w:noHBand="0" w:noVBand="1" w:val="04A0"/>
      </w:tblPr>
      <w:tblGrid>
        <w:gridCol w:w="5128"/>
        <w:gridCol w:w="5128"/>
      </w:tblGrid>
      <w:tr>
        <w:tc>
          <w:tcPr>
            <w:tcW w:type="dxa" w:w="5128"/>
          </w:tcPr>
          <w:p>
            <w:r>
              <w:t>Document owner</w:t>
            </w:r>
          </w:p>
        </w:tc>
        <w:tc>
          <w:tcPr>
            <w:tcW w:type="dxa" w:w="5128"/>
          </w:tcPr>
          <w:p>
            <w:r>
              <w:t>Assign by management</w:t>
            </w:r>
          </w:p>
        </w:tc>
      </w:tr>
      <w:tr>
        <w:tc>
          <w:tcPr>
            <w:tcW w:type="dxa" w:w="5128"/>
          </w:tcPr>
          <w:p>
            <w:r>
              <w:t>Version</w:t>
            </w:r>
          </w:p>
        </w:tc>
        <w:tc>
          <w:tcPr>
            <w:tcW w:type="dxa" w:w="5128"/>
          </w:tcPr>
          <w:p>
            <w:r>
              <w:t>Assign after review</w:t>
            </w:r>
          </w:p>
        </w:tc>
      </w:tr>
      <w:tr>
        <w:tc>
          <w:tcPr>
            <w:tcW w:type="dxa" w:w="5128"/>
          </w:tcPr>
          <w:p>
            <w:r>
              <w:t>Effective date</w:t>
            </w:r>
          </w:p>
        </w:tc>
        <w:tc>
          <w:tcPr>
            <w:tcW w:type="dxa" w:w="5128"/>
          </w:tcPr>
          <w:p>
            <w:r>
              <w:t>Enter actual authorized date; do not backdate</w:t>
            </w:r>
          </w:p>
        </w:tc>
      </w:tr>
      <w:tr>
        <w:tc>
          <w:tcPr>
            <w:tcW w:type="dxa" w:w="5128"/>
          </w:tcPr>
          <w:p>
            <w:r>
              <w:t>Approved by</w:t>
            </w:r>
          </w:p>
        </w:tc>
        <w:tc>
          <w:tcPr>
            <w:tcW w:type="dxa" w:w="5128"/>
          </w:tcPr>
          <w:p>
            <w:r>
              <w:t>Authorized approver to complete</w:t>
            </w:r>
          </w:p>
        </w:tc>
      </w:tr>
    </w:tbl>
    <w:p>
      <w:pPr>
        <w:pStyle w:val="Heading1"/>
      </w:pPr>
      <w:r>
        <w:t>1. Purpose and scope</w:t>
      </w:r>
    </w:p>
    <w:p>
      <w:r>
        <w:t>Protect information assets throughout acquisition, assignment, operation, transfer, and disposal. Assets include endpoints, servers, network equipment, cloud resources, software, data repositories, credentials, and third-party services used for company work.</w:t>
      </w:r>
    </w:p>
    <w:p>
      <w:pPr>
        <w:pStyle w:val="Heading1"/>
      </w:pPr>
      <w:r>
        <w:t>2. Inventory and ownership</w:t>
      </w:r>
    </w:p>
    <w:p>
      <w:r>
        <w:t>Maintain an inventory with a unique identifier, description, owner/custodian, location or service, classification/criticality, assigned user where applicable, and lifecycle state. Record acquisition, assignment, material change, and retirement. Owners review inventory accuracy on a documented schedule.</w:t>
      </w:r>
    </w:p>
    <w:p>
      <w:pPr>
        <w:pStyle w:val="Heading1"/>
      </w:pPr>
      <w:r>
        <w:t>3. Use and protection</w:t>
      </w:r>
    </w:p>
    <w:p>
      <w:r>
        <w:t>Only approved assets may connect to company systems or process company/customer information. Configure access and protections according to classification and risk. Users must safeguard assigned assets, report loss or damage promptly, and not transfer assets without authorization.</w:t>
      </w:r>
    </w:p>
    <w:p>
      <w:pPr>
        <w:pStyle w:val="Heading1"/>
      </w:pPr>
      <w:r>
        <w:t>4. Return and disposal</w:t>
      </w:r>
    </w:p>
    <w:p>
      <w:r>
        <w:t>Collect company assets and revoke related access during role change or separation. Before reuse or disposal, securely erase or destroy data using an approved method appropriate to the media and retain a disposal record. Retire licenses and cloud resources when no longer needed.</w:t>
      </w:r>
    </w:p>
    <w:p>
      <w:pPr>
        <w:pStyle w:val="Heading1"/>
      </w:pPr>
      <w:r>
        <w:t>5. Responsibilities and evidence</w:t>
      </w:r>
    </w:p>
    <w:p>
      <w:r>
        <w:t>IT maintains the technical inventory; business owners identify data and service assets; HR notifies IT of joiner/mover/leaver events; procurement/finance retain acquisition records. Retain inventories, review evidence, assignment/return records, and disposal certificates.</w:t>
      </w:r>
    </w:p>
    <w:p>
      <w:pPr>
        <w:pStyle w:val="Heading1"/>
      </w:pPr>
      <w:r>
        <w:t>6. Review</w:t>
      </w:r>
    </w:p>
    <w:p>
      <w:r>
        <w:t>The designated asset owner reviews this policy annually and after significant technology or business changes. Management assigns owners and approves exceptions.</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footer" Target="footer4.xml"/></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