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18"/>
        </w:rPr>
        <w:t>DRAFT — OWNER VALIDATION AND AUTHORIZED APPROVAL REQUIRED</w:t>
      </w:r>
    </w:p>
    <w:p>
      <w:pPr>
        <w:pStyle w:val="Title"/>
        <w:jc w:val="center"/>
      </w:pPr>
      <w:r>
        <w:t>MALWARE PREVENTION AND RESPONSE POLICY</w:t>
      </w:r>
    </w:p>
    <w:tbl>
      <w:tblPr>
        <w:tblStyle w:val="TableGrid"/>
        <w:tblW w:type="auto" w:w="0"/>
        <w:tblLook w:firstColumn="1" w:firstRow="1" w:lastColumn="0" w:lastRow="0" w:noHBand="0" w:noVBand="1" w:val="04A0"/>
      </w:tblPr>
      <w:tblGrid>
        <w:gridCol w:w="5128"/>
        <w:gridCol w:w="5128"/>
      </w:tblGrid>
      <w:tr>
        <w:tc>
          <w:tcPr>
            <w:tcW w:type="dxa" w:w="5128"/>
          </w:tcPr>
          <w:p>
            <w:r>
              <w:t>Document owner</w:t>
            </w:r>
          </w:p>
        </w:tc>
        <w:tc>
          <w:tcPr>
            <w:tcW w:type="dxa" w:w="5128"/>
          </w:tcPr>
          <w:p>
            <w:r>
              <w:t>Assign by management</w:t>
            </w:r>
          </w:p>
        </w:tc>
      </w:tr>
      <w:tr>
        <w:tc>
          <w:tcPr>
            <w:tcW w:type="dxa" w:w="5128"/>
          </w:tcPr>
          <w:p>
            <w:r>
              <w:t>Version</w:t>
            </w:r>
          </w:p>
        </w:tc>
        <w:tc>
          <w:tcPr>
            <w:tcW w:type="dxa" w:w="5128"/>
          </w:tcPr>
          <w:p>
            <w:r>
              <w:t>Assign after review</w:t>
            </w:r>
          </w:p>
        </w:tc>
      </w:tr>
      <w:tr>
        <w:tc>
          <w:tcPr>
            <w:tcW w:type="dxa" w:w="5128"/>
          </w:tcPr>
          <w:p>
            <w:r>
              <w:t>Effective date</w:t>
            </w:r>
          </w:p>
        </w:tc>
        <w:tc>
          <w:tcPr>
            <w:tcW w:type="dxa" w:w="5128"/>
          </w:tcPr>
          <w:p>
            <w:r>
              <w:t>Enter actual authorized date; do not backdate</w:t>
            </w:r>
          </w:p>
        </w:tc>
      </w:tr>
      <w:tr>
        <w:tc>
          <w:tcPr>
            <w:tcW w:type="dxa" w:w="5128"/>
          </w:tcPr>
          <w:p>
            <w:r>
              <w:t>Approved by</w:t>
            </w:r>
          </w:p>
        </w:tc>
        <w:tc>
          <w:tcPr>
            <w:tcW w:type="dxa" w:w="5128"/>
          </w:tcPr>
          <w:p>
            <w:r>
              <w:t>Authorized approver to complete</w:t>
            </w:r>
          </w:p>
        </w:tc>
      </w:tr>
    </w:tbl>
    <w:p>
      <w:pPr>
        <w:pStyle w:val="Heading1"/>
      </w:pPr>
      <w:r>
        <w:t>1. Purpose and scope</w:t>
      </w:r>
    </w:p>
    <w:p>
      <w:r>
        <w:t>Reduce the risk and impact of malicious software on company endpoints, servers, cloud workloads, and information handled by authorized users.</w:t>
      </w:r>
    </w:p>
    <w:p>
      <w:pPr>
        <w:pStyle w:val="Heading1"/>
      </w:pPr>
      <w:r>
        <w:t>2. Preventive controls</w:t>
      </w:r>
    </w:p>
    <w:p>
      <w:r>
        <w:t>Maintain approved endpoint or workload protection appropriate to the environment. Keep operating systems, browsers, and security agents supported and updated. Restrict administrative privileges, disable unnecessary services, and use secure configuration baselines. Do not disable or bypass protective controls without authorized, documented exception.</w:t>
      </w:r>
    </w:p>
    <w:p>
      <w:pPr>
        <w:pStyle w:val="Heading1"/>
      </w:pPr>
      <w:r>
        <w:t>3. User practices</w:t>
      </w:r>
    </w:p>
    <w:p>
      <w:r>
        <w:t>Open attachments and links cautiously, obtain software only from approved sources, scan removable media where permitted, and promptly report suspicious messages, alerts, or device behavior. Users must not attempt to remove malware or destroy evidence unless directed by the response lead.</w:t>
      </w:r>
    </w:p>
    <w:p>
      <w:pPr>
        <w:pStyle w:val="Heading1"/>
      </w:pPr>
      <w:r>
        <w:t>4. Detection and response</w:t>
      </w:r>
    </w:p>
    <w:p>
      <w:r>
        <w:t>IT/security monitors alerts, investigates suspected malware, isolates affected assets when appropriate, preserves evidence, removes malicious content, restores from trusted sources, and assesses possible data exposure. Record detection, containment, remediation, recovery, and follow-up actions under the incident process.</w:t>
      </w:r>
    </w:p>
    <w:p>
      <w:pPr>
        <w:pStyle w:val="Heading1"/>
      </w:pPr>
      <w:r>
        <w:t>5. Validation and records</w:t>
      </w:r>
    </w:p>
    <w:p>
      <w:r>
        <w:t>Retain evidence of protection coverage, update status, alerts, exceptions, and incident remediation. Review coverage and effectiveness periodically based on risk. Do not name tools or claim coverage without current evidence.</w:t>
      </w:r>
    </w:p>
    <w:p>
      <w:pPr>
        <w:pStyle w:val="Heading1"/>
      </w:pPr>
      <w:r>
        <w:t>6. Review</w:t>
      </w:r>
    </w:p>
    <w:p>
      <w:r>
        <w:t>The security owner reviews this policy at least annually and after significant incidents or changes. Management approves exceptions.</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