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jc w:val="center"/>
      </w:pPr>
      <w:r>
        <w:rPr>
          <w:b/>
          <w:sz w:val="18"/>
        </w:rPr>
        <w:t>DRAFT — OWNER VALIDATION AND AUTHORIZED APPROVAL REQUIRED</w:t>
      </w:r>
    </w:p>
    <w:p>
      <w:pPr>
        <w:pStyle w:val="Title"/>
        <w:jc w:val="center"/>
      </w:pPr>
      <w:r>
        <w:t>DATA PRIVACY POLICY</w:t>
      </w:r>
    </w:p>
    <w:tbl>
      <w:tblPr>
        <w:tblStyle w:val="TableGrid"/>
        <w:tblW w:type="auto" w:w="0"/>
        <w:tblLook w:firstColumn="1" w:firstRow="1" w:lastColumn="0" w:lastRow="0" w:noHBand="0" w:noVBand="1" w:val="04A0"/>
      </w:tblPr>
      <w:tblGrid>
        <w:gridCol w:w="4961"/>
        <w:gridCol w:w="4961"/>
      </w:tblGrid>
      <w:tr>
        <w:tc>
          <w:tcPr>
            <w:tcW w:type="dxa" w:w="4961"/>
          </w:tcPr>
          <w:p>
            <w:r>
              <w:t>Document owner</w:t>
            </w:r>
          </w:p>
        </w:tc>
        <w:tc>
          <w:tcPr>
            <w:tcW w:type="dxa" w:w="4961"/>
          </w:tcPr>
          <w:p>
            <w:r>
              <w:t>Assign by management</w:t>
            </w:r>
          </w:p>
        </w:tc>
      </w:tr>
      <w:tr>
        <w:tc>
          <w:tcPr>
            <w:tcW w:type="dxa" w:w="4961"/>
          </w:tcPr>
          <w:p>
            <w:r>
              <w:t>Version</w:t>
            </w:r>
          </w:p>
        </w:tc>
        <w:tc>
          <w:tcPr>
            <w:tcW w:type="dxa" w:w="4961"/>
          </w:tcPr>
          <w:p>
            <w:r>
              <w:t>Assign after review</w:t>
            </w:r>
          </w:p>
        </w:tc>
      </w:tr>
      <w:tr>
        <w:tc>
          <w:tcPr>
            <w:tcW w:type="dxa" w:w="4961"/>
          </w:tcPr>
          <w:p>
            <w:r>
              <w:t>Effective date</w:t>
            </w:r>
          </w:p>
        </w:tc>
        <w:tc>
          <w:tcPr>
            <w:tcW w:type="dxa" w:w="4961"/>
          </w:tcPr>
          <w:p>
            <w:r>
              <w:t>Enter actual authorized date; do not backdate</w:t>
            </w:r>
          </w:p>
        </w:tc>
      </w:tr>
      <w:tr>
        <w:tc>
          <w:tcPr>
            <w:tcW w:type="dxa" w:w="4961"/>
          </w:tcPr>
          <w:p>
            <w:r>
              <w:t>Approved by</w:t>
            </w:r>
          </w:p>
        </w:tc>
        <w:tc>
          <w:tcPr>
            <w:tcW w:type="dxa" w:w="4961"/>
          </w:tcPr>
          <w:p>
            <w:r>
              <w:t>Authorized approver to complete</w:t>
            </w:r>
          </w:p>
        </w:tc>
      </w:tr>
    </w:tbl>
    <w:p>
      <w:pPr>
        <w:pStyle w:val="Heading1"/>
      </w:pPr>
      <w:r>
        <w:t>1. Purpose and scope</w:t>
      </w:r>
    </w:p>
    <w:p>
      <w:r>
        <w:t>Establish privacy principles for personal information processed by Zediant as a controller, processor, employer, or service provider. Apply applicable law and contract; obtain qualified legal review for jurisdiction-specific requirements.</w:t>
      </w:r>
    </w:p>
    <w:p>
      <w:pPr>
        <w:pStyle w:val="Heading1"/>
      </w:pPr>
      <w:r>
        <w:t>2. Privacy principles</w:t>
      </w:r>
    </w:p>
    <w:p>
      <w:r>
        <w:t>Process personal information for defined purposes with an applicable legal basis; provide required notices; collect only what is necessary; maintain accuracy; limit access and retention; protect information; and document accountability. Do not use information for a materially incompatible purpose without review and authorization.</w:t>
      </w:r>
    </w:p>
    <w:p>
      <w:pPr>
        <w:pStyle w:val="Heading1"/>
      </w:pPr>
      <w:r>
        <w:t>3. Individual rights and requests</w:t>
      </w:r>
    </w:p>
    <w:p>
      <w:r>
        <w:t>Provide a designated channel for privacy requests. Verify identity proportionately, log the request and dates, determine applicable rights and exceptions with the privacy/legal owner, coordinate across relevant systems and processors, respond within applicable deadlines, and retain the decision and evidence.</w:t>
      </w:r>
    </w:p>
    <w:p>
      <w:pPr>
        <w:pStyle w:val="Heading1"/>
      </w:pPr>
      <w:r>
        <w:t>4. Privacy risk and third parties</w:t>
      </w:r>
    </w:p>
    <w:p>
      <w:r>
        <w:t>Assess privacy impacts for new or materially changed processing. Before engaging a processor, document permitted processing, instructions, confidentiality, security, subprocessors, incident notification, assistance with rights requests, retention/deletion, and audit cooperation.</w:t>
      </w:r>
    </w:p>
    <w:p>
      <w:pPr>
        <w:pStyle w:val="Heading1"/>
      </w:pPr>
      <w:r>
        <w:t>5. Incidents and retention</w:t>
      </w:r>
    </w:p>
    <w:p>
      <w:r>
        <w:t>Escalate suspected personal-data incidents promptly under incident management. The privacy/legal owner assesses notification duties under applicable law and contract and records the decision. Retain personal information according to the approved schedule and dispose of it securely when no longer required.</w:t>
      </w:r>
    </w:p>
    <w:p>
      <w:pPr>
        <w:pStyle w:val="Heading1"/>
      </w:pPr>
      <w:r>
        <w:t>6. Governance and review</w:t>
      </w:r>
    </w:p>
    <w:p>
      <w:r>
        <w:t>Management assigns a privacy owner and ensures appropriate resources. The privacy owner maintains notices, records of processing where required, assessments, requests, processor terms, and incident decisions. Review annually and after material legal or business changes.</w:t>
      </w:r>
    </w:p>
    <w:p>
      <w:pPr>
        <w:pStyle w:val="Heading1"/>
      </w:pPr>
      <w:r>
        <w:t>Document approval</w:t>
      </w:r>
    </w:p>
    <w:p>
      <w:r>
        <w:t>Approval name, role, signature/record reference, and approval date must be completed by authorized personnel after substantive review. This draft is not evidence of approval or operation during the audit period.</w:t>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P5h5Hclfskr9BGFv6uMywSAP7g==">CgMxLjAyDmgua2N5azR5Y2EzODR4Mg1oLm5iNzg2emdhNzJtMg5oLnZvcTV6bmM2cHk2NzIOaC5iZW1sa2VnN3B6cTIyDmgueWZ3ODRpbGpqdjNpMg5oLnhyYmZhMzRrbTVwdTIOaC42eGx1NXhtbWk0eGsyDmgudHJ4ZXQ2c215OGs5Mg5oLnFnMHdodnA5bmplczIOaC51MHlpNnYzc2ozZjAyDmguODNycTVxcnRtZjlrOAByITFPdFVjWDdXVWdlSjN1dnlqM01vYjgwZVJEMU9lbHAw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