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11: Thông báo yêu cầu hộ kinh doanh báo cáo về việc tuân thủ các quy định về hộ kinh doanh</w:t>
      </w:r>
    </w:p>
    <w:p>
      <w:r>
        <w:t>Mẫu số 11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Yêu cầu hộ kinh doanh báo cáo về việc tuân thủ các quy định về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(Tên hộ kinh doanh)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quy định tại khoản 6 Điều 22 Nghị định số 168/2025/NĐ-CP ngày 30/6/2025 của Chính phủ về đăng ký doanh nghiệp;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Căn cứ {can_cu}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Cơ quan đăng ký kinh doanh cấp xã</w:t>
      </w:r>
      <w:r>
        <w:rPr>
          <w:rFonts w:ascii="Arial" w:hAnsi="Arial" w:cs="Arial"/>
          <w:sz w:val="24"/>
          <w:sz-cs w:val="24"/>
        </w:rPr>
        <w:t>)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  <w:tab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Yêu cầu hộ kinh doanh báo cáo về các nội dung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.................................................................................................................................................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.................................................................................................................................................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.................................................................................................................................................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Hộ kinh doanh có trách nhiệm gửi báo cáo tới </w:t>
      </w:r>
      <w:r>
        <w:rPr>
          <w:rFonts w:ascii="Arial" w:hAnsi="Arial" w:cs="Arial"/>
          <w:sz w:val="24"/>
          <w:sz-cs w:val="24"/>
          <w:i/>
        </w:rPr>
        <w:t>(Cơ quan đăng ký kinh doanh cấp xã)</w:t>
      </w:r>
      <w:r>
        <w:rPr>
          <w:rFonts w:ascii="Arial" w:hAnsi="Arial" w:cs="Arial"/>
          <w:sz w:val="24"/>
          <w:sz-cs w:val="24"/>
        </w:rPr>
        <w:t xml:space="preserve"> về các nội dung nêu trên trong thời hạn {co_quan_dkkd} ngày, kể từ ngày ra thông báo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Kết thúc thời hạn 30 ngày kể từ ngày hết thời hạn gửi báo cáo tại thông báo này, trường hợp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không nhận được báo cáo của hộ kinh doanh thì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thực hiện thu hồi Giấy chứng nhận đăng ký hộ kinh doanh theo trình tự, thủ tục quy định tại khoản 3 Điều 107 Nghị định số 168/2025/NĐ-CP.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>Nơi nhận:</w:t>
        <w:br/>
      </w:r>
      <w:r>
        <w:rPr>
          <w:rFonts w:ascii="Arial" w:hAnsi="Arial" w:cs="Arial"/>
          <w:sz w:val="24"/>
          <w:sz-cs w:val="24"/>
        </w:rPr>
        <w:t>- Như trên;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