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25: Giấy đề nghị bổ sung, cập nhật thông tin đăng ký hoạt động đối với chi nhánh/văn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r>
        <w:t>Mẫu số 25</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w:t>
        <w:br/>
        <w:t xml:space="preserve">văn phòng đại diện/địa điểm kinh doanh của doanh nghiệp hoạt động theo Giấy phép thành lập và hoạt động kinh doanh chứng khoán/Chi nhánh công ty chứng khoán nước ngoài/công ty quản lý quỹ nước ngoài tại Việt Nam</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nghiệp/Tên chi nhánh (</w:t>
      </w:r>
      <w:r>
        <w:rPr>
          <w:rFonts w:ascii="Arial" w:hAnsi="Arial" w:cs="Arial"/>
          <w:sz w:val="24"/>
          <w:sz-cs w:val="24"/>
          <w:i/>
        </w:rPr>
        <w:t>trong trường hợp bổ sung, cập nhật thông tin đăng ký hoạt động đối với Chi nhánh công ty chứng khoán nước ngoài/công ty quản lý quỹ nước ngoài tại Việt Nam</w:t>
      </w:r>
      <w:r>
        <w:rPr>
          <w:rFonts w:ascii="Arial" w:hAnsi="Arial" w:cs="Arial"/>
          <w:sz w:val="24"/>
          <w:sz-cs w:val="24"/>
        </w:rPr>
        <w: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Giấy phép thành lập và hoạt động số: … do Ủy ban Chứng khoán Nhà nước cấp ngày: {gp_ucsn_so}/…./…..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{cn.ma_so} {cn.ten_tieng_viet}</w:t>
      </w:r>
    </w:p>
    <w:p>
      <w:pPr>
        <w:spacing w:before="120"/>
      </w:pPr>
      <w:r>
        <w:rPr>
          <w:rFonts w:ascii="Arial" w:hAnsi="Arial" w:cs="Arial"/>
          <w:sz w:val="24"/>
          <w:sz-cs w:val="24"/>
          <w:b/>
        </w:rPr>
        <w:t xml:space="preserve">3.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4.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5.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6.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w:t>
      </w:r>
      <w:r>
        <w:rPr>
          <w:rFonts w:ascii="Arial" w:hAnsi="Arial" w:cs="Arial"/>
          <w:sz w:val="24"/>
          <w:sz-cs w:val="24"/>
        </w:rPr>
        <w:t xml:space="preserve"> Người đại diện theo pháp luật của doanh nghiệp/Người đứng đầu chi nhánh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