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 {email_khac}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w:t>
      </w:r>
      <w:r>
        <w:rPr>
          <w:rFonts w:ascii="Arial" w:hAnsi="Arial" w:cs="Arial"/>
          <w:sz w:val="24"/>
          <w:sz-cs w:val="24"/>
          <w:i/>
        </w:rPr>
        <w:t>Tên doanh nghiệp</w:t>
      </w:r>
      <w:r>
        <w:rPr>
          <w:rFonts w:ascii="Arial" w:hAnsi="Arial" w:cs="Arial"/>
          <w:sz w:val="24"/>
          <w:sz-cs w:val="24"/>
        </w:rPr>
        <w:t>) {dn.ten_tieng_viet}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0"/>
      </w:tblGrid>
      <w:tr>
        <w:tc>
          <w:tcPr>
            <w:tcW w:type="dxa" w:w="8640"/>
          </w:tcPr>
          <w:p>
            <w:r>
              <w:rPr>
                <w:b/>
              </w:rPr>
              <w:t>(TÊN CƠ QUAN ĐĂNG KÝ KINH DOANH CẤP TỈNH)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