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pPr>
        <w:jc w:val="right"/>
      </w:pPr>
      <w:r>
        <w:rPr>
          <w:b/>
        </w:rPr>
        <w:t>Mẫu số 2</w:t>
      </w:r>
    </w:p>
    <w:tbl xmlns:ns1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{hkd_ten_tieng_viet_2}</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b/>
                <w:sz w:val="26"/>
                <w:sz-cs w:val="24"/>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{#tv_hgd_sau_thay_doi}{_stt}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tbl xmlns:ns9="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 / Các chỉ tiêu thông tin đăng ký thuế</w:t>
            </w:r>
          </w:p>
        </w:tc>
        <w:tc>
          <w:tcPr>
            <w:tcW w:type="dxa" w:w="2880"/>
          </w:tcPr>
          <w:p>
            <w:r>
              <w:rPr>
                <w:b/>
              </w:rPr>
              <w:t>Địa chỉ nhận thông báo thuế (số nhà/phòng, ngách/hẻm, ngõ/kiệt, đường/phố/đại lộ, tổ/xóm/ấp/thôn; xã/phường/đặc khu; tỉnh/thành phố trực thuộc trung ương; điện thoại; thư điện tử — chỉ kê khai nếu khác địa chỉ trụ sở)</w:t>
            </w:r>
          </w:p>
        </w:tc>
        <w:tc>
          <w:tcPr>
            <w:tcW w:type="dxa" w:w="2880"/>
          </w:tcPr>
          <w:p>
            <w:r>
              <w:rPr>
                <w:b/>
              </w:rPr>
              <w:t>Tổng số lao động</w:t>
            </w:r>
          </w:p>
        </w:tc>
      </w:tr>
      <w:tr>
        <w:tc>
          <w:tcPr>
            <w:tcW w:type="dxa" w:w="2880"/>
          </w:tcPr>
          <w:p>
            <w:r>
              <w:rPr>
                <w:b w:val="0"/>
              </w:rPr>
              <w:t>5.1 Địa chỉ nhận thông báo thuế (chỉ kê khai nếu địa chỉ nhận thông báo thuế khác địa chỉ trụ sở):</w:t>
            </w:r>
          </w:p>
        </w:tc>
        <w:tc>
          <w:tcPr>
            <w:tcW w:type="dxa" w:w="2880"/>
          </w:tcPr>
          <w:p>
            <w:r>
              <w:rPr>
                <w:b w:val="0"/>
              </w:rPr>
              <w:t>{thue_chi_tieu_cap_doi.chi_tieu_5_1_dia_chi_nhan_thong_bao_thue.dia_chi_nhan_thong_bao_thue}</w:t>
            </w:r>
          </w:p>
        </w:tc>
        <w:tc>
          <w:tcPr>
            <w:tcW w:type="dxa" w:w="2880"/>
          </w:tcPr>
          <w:p>
            <w:r>
              <w:rPr>
                <w:b w:val="0"/>
              </w:rPr>
              <w:t>{thue_chi_tieu_cap_doi.chi_tieu_5_1_dia_chi_nhan_thong_bao_thue.so_lao_dong}</w:t>
            </w:r>
          </w:p>
        </w:tc>
      </w:tr>
      <w:tr>
        <w:tc>
          <w:tcPr>
            <w:tcW w:type="dxa" w:w="2880"/>
          </w:tcPr>
          <w:p>
            <w:r>
              <w:rPr>
                <w:b w:val="0"/>
              </w:rPr>
              <w:t>5.2 Tổng số lao động</w:t>
            </w:r>
          </w:p>
        </w:tc>
        <w:tc>
          <w:tcPr>
            <w:tcW w:type="dxa" w:w="2880"/>
          </w:tcPr>
          <w:p>
            <w:r>
              <w:rPr>
                <w:b w:val="0"/>
              </w:rPr>
              <w:t>{thue_chi_tieu_cap_doi.chi_tieu_5_2_tong_so_lao_dong.dia_chi_nhan_thong_bao_thue}</w:t>
            </w:r>
          </w:p>
        </w:tc>
        <w:tc>
          <w:tcPr>
            <w:tcW w:type="dxa" w:w="2880"/>
          </w:tcPr>
          <w:p>
            <w:r>
              <w:rPr>
                <w:b w:val="0"/>
              </w:rPr>
              <w:t>{thue_chi_tieu_cap_doi.chi_tieu_5_2_tong_so_lao_dong.so_lao_dong}</w:t>
            </w:r>
          </w:p>
        </w:tc>
      </w:tr>
    </w:tbl>
    <w:p>
      <w:pPr>
        <w:spacing w:before="0" w:after="0" w:line="20" w:lineRule="exact"/>
        <w:rPr>
          <w:vanish/>
          <w:sz w:val="2"/>
          <w:szCs w:val="2"/>
        </w:rPr>
        <w:sectPr>
          <w:pgSz w:w="12240" w:h="15840"/>
          <w:pgMar w:top="1440" w:right="1800" w:bottom="1440" w:left="1800"/>
        </w:sectPr>
      </w:pPr>
    </w:p>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{#tv_hgd_cap_doi}{_stt}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