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8: Thông báo về cơ quan thuế quản lý trực tiếp hộ kinh doanh</w:t>
      </w:r>
    </w:p>
    <w:p>
      <w:r>
        <w:t>Mẫu số 8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cơ quan thuế quản lý trực tiếp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Kính gửi: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(Tên hộ kinh doanh) </w:t>
      </w:r>
      <w:r>
        <w:rPr>
          <w:rFonts w:ascii="Arial" w:hAnsi="Arial" w:cs="Arial"/>
          <w:sz w:val="24"/>
          <w:sz-cs w:val="24"/>
          <w:i/>
        </w:rPr>
        <w:t>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Trụ sở của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Cơ quan đăng ký kinh doanh cấp xã</w:t>
      </w:r>
      <w:r>
        <w:rPr>
          <w:rFonts w:ascii="Arial" w:hAnsi="Arial" w:cs="Arial"/>
          <w:sz w:val="24"/>
          <w:sz-cs w:val="24"/>
        </w:rPr>
        <w:t>)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thông tin do cơ quan thuế cung cấp,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xin thông báo về cơ quan thuế quản lý trực tiếp hộ kinh doanh như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cơ quan thuế quản lý trực tiếp hộ kinh doanh: {cq_thue_quan_ly}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Đề nghị hộ kinh doanh liên hệ với cơ quan thuế quản lý trực tiếp để kê khai, nộp thuế theo quy định.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Như trên;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