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hộ kinh doanh đăng ký thay đổi thành viên không được quyền thành lập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  <w:r>
        <w:rPr>
          <w:rFonts w:ascii="Arial" w:hAnsi="Arial" w:cs="Arial"/>
          <w:sz w:val="24"/>
          <w:sz-cs w:val="24"/>
          <w:i/>
        </w:rPr>
        <w:t xml:space="preserve">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Kết luận/biên bản làm việc ...................................................................................;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{can_cu}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yêu cầu hộ kinh doanh đăng ký thay đổi thành viên không được quyền thành lập hộ kinh doanh theo quy định tại khoản 2 Điều 82 Nghị định số 168/2025/NĐ-CP trong thời hạn 15 ngày kể từ ngày ra thông báo. Nếu quá thời hạn trên mà hộ kinh doanh không đăng ký thay đổi thì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sẽ ra thông báo về hành vi vi phạm và ra quyết định thu hồi Giấy chứng nhận đăng ký hộ kinh doanh theo quy định tại điểm b khoản 2 Điều 107 Nghị định số 168/2025/NĐ-CP.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