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30: Thông báo về việc giải thể doanh nghiệp</w:t>
      </w:r>
    </w:p>
    <w:p>
      <w:r>
        <w:t>Mẫu số 30</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{dn.ten_tieng_viet}</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giải thể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Số Giấy chứng nhận đăng ký kinh doanh (</w:t>
      </w:r>
      <w:r>
        <w:rPr>
          <w:rFonts w:ascii="Arial" w:hAnsi="Arial" w:cs="Arial"/>
          <w:sz w:val="24"/>
          <w:sz-cs w:val="24"/>
          <w:i/>
        </w:rPr>
        <w:t>chỉ kê khai nếu không có mã số doanh nghiệp/mã số thuế</w:t>
      </w:r>
      <w:r>
        <w:rPr>
          <w:rFonts w:ascii="Arial" w:hAnsi="Arial" w:cs="Arial"/>
          <w:sz w:val="24"/>
          <w:sz-cs w:val="24"/>
        </w:rPr>
        <w:t>): {so_gcn_dkkd} Ngày cấp {ngay_cap}</w:t>
      </w:r>
    </w:p>
    <w:p>
      <w:pPr>
        <w:jc w:val="center"/>
        <w:spacing w:before="120"/>
      </w:pPr>
      <w:r>
        <w:rPr>
          <w:rFonts w:ascii="Arial" w:hAnsi="Arial" w:cs="Arial"/>
          <w:sz w:val="24"/>
          <w:sz-cs w:val="24"/>
          <w:b/>
        </w:rPr>
        <w:t xml:space="preserve">Thông báo về việc giải thể doanh nghiệp như sau:</w:t>
      </w:r>
    </w:p>
    <w:p>
      <w:pPr>
        <w:spacing w:before="120"/>
      </w:pPr>
      <w:r>
        <w:rPr>
          <w:rFonts w:ascii="Arial" w:hAnsi="Arial" w:cs="Arial"/>
          <w:sz w:val="24"/>
          <w:sz-cs w:val="24"/>
        </w:rPr>
        <w:t xml:space="preserve">Doanh nghiệp đã thanh toán hết các khoản nợ, nghĩa vụ tài sản khác và không trong quá trình giải quyết tranh chấp tại Toà án hoặc Trọng tài theo quy định tại khoản 2 Điều 207 Luật Doanh nghiệp. Đề nghị Quý Cơ quan cập nhật tình trạng pháp lý của doanh nghiệp trong Cơ sở dữ liệu quốc gia về đăng ký doanh nghiệp sang tình trạng đã giải thể. </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r>
      <w:r>
        <w:rPr>
          <w:rFonts w:ascii="Arial" w:hAnsi="Arial" w:cs="Arial"/>
          <w:sz w:val="24"/>
          <w:sz-cs w:val="24"/>
        </w:rPr>
        <w:t xml:space="preserve"/>
        <w:b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