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71</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w:t>
      </w:r>
    </w:p>
    <w:p>
      <w:pPr>
        <w:jc w:val="center"/>
        <w:spacing w:before="120"/>
      </w:pPr>
      <w:r>
        <w:rPr>
          <w:rFonts w:ascii="Arial" w:hAnsi="Arial" w:cs="Arial"/>
          <w:sz w:val="24"/>
          <w:sz-cs w:val="24"/>
          <w:b/>
        </w:rPr>
        <w:t xml:space="preserve">Hồ sơ đăng ký doanh nghiệp/chi nhánh/văn phòng đại diện/ địa điểm kinh doanh qua mạng thông tin điện tử</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thoại:………………………………………………..Số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Ngày …./…./…. đã nhận của Ông/Bà: …………………………………………………………</w:t>
      </w:r>
    </w:p>
    <w:p>
      <w:pPr>
        <w:spacing w:before="120"/>
      </w:pPr>
      <w:r>
        <w:rPr>
          <w:rFonts w:ascii="Arial" w:hAnsi="Arial" w:cs="Arial"/>
          <w:sz w:val="24"/>
          <w:sz-cs w:val="24"/>
        </w:rPr>
        <w:t xml:space="preserve">Số định danh cá nhân (</w:t>
      </w:r>
      <w:r>
        <w:rPr>
          <w:rFonts w:ascii="Arial" w:hAnsi="Arial" w:cs="Arial"/>
          <w:sz w:val="24"/>
          <w:sz-cs w:val="24"/>
          <w:i/>
        </w:rPr>
        <w:t xml:space="preserve">hoặc số Hộ chiếu, Hộ chiếu nước ngoài, giấy tờ có giá trị thay thế hộ chiếu nước ngoài</w:t>
      </w:r>
      <w:r>
        <w:rPr>
          <w:rFonts w:ascii="Arial" w:hAnsi="Arial" w:cs="Arial"/>
          <w:sz w:val="24"/>
          <w:sz-cs w:val="24"/>
        </w:rPr>
        <w:t xml:space="preserve">): …………………………………………………………………………………………..</w:t>
      </w:r>
    </w:p>
    <w:p>
      <w:pPr>
        <w:spacing w:before="120"/>
      </w:pPr>
      <w:r>
        <w:rPr>
          <w:rFonts w:ascii="Arial" w:hAnsi="Arial" w:cs="Arial"/>
          <w:sz w:val="24"/>
          <w:sz-cs w:val="24"/>
        </w:rPr>
        <w:t xml:space="preserve">Điện thoại: ………………………………………. Thư điện tử:………………………….</w:t>
      </w:r>
    </w:p>
    <w:p>
      <w:pPr>
        <w:spacing w:before="120"/>
      </w:pPr>
      <w:r>
        <w:rPr>
          <w:rFonts w:ascii="Arial" w:hAnsi="Arial" w:cs="Arial"/>
          <w:sz w:val="24"/>
          <w:sz-cs w:val="24"/>
        </w:rPr>
        <w:t xml:space="preserve">01 bộ hồ sơ đăng ký doanh nghiệp/chi nhánh/văn phòng đại diện/địa điểm kinh doanh qua mạng thông tin điện tử mã số: ……………. về việc ………………… của (</w:t>
      </w:r>
      <w:r>
        <w:rPr>
          <w:rFonts w:ascii="Arial" w:hAnsi="Arial" w:cs="Arial"/>
          <w:sz w:val="24"/>
          <w:sz-cs w:val="24"/>
          <w:i/>
        </w:rPr>
        <w:t xml:space="preserve">Tên doanh nghiệp</w:t>
      </w:r>
      <w:r>
        <w:rPr>
          <w:rFonts w:ascii="Arial" w:hAnsi="Arial" w:cs="Arial"/>
          <w:sz w:val="24"/>
          <w:sz-cs w:val="24"/>
        </w:rPr>
        <w:t xml:space="preserve">) ……………… Mã số doanh nghiệp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Hồ sơ bao gồm:</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Thời gian trả kết quả giải quyết hồ sơ: ngày … tháng … năm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Kết quả xử lý hồ sơ đăng ký doanh nghiệp sẽ được gửi vào địa chỉ thư điện tử và tài khoản truy cập Hệ thống thông tin quốc gia về đăng ký doanh nghiệp của Ông/Bà.</w:t>
      </w:r>
    </w:p>
    <w:p>
      <w:pPr>
        <w:spacing w:before="120"/>
      </w:pPr>
      <w:r>
        <w:rPr>
          <w:rFonts w:ascii="Arial" w:hAnsi="Arial" w:cs="Arial"/>
          <w:sz w:val="24"/>
          <w:sz-cs w:val="24"/>
        </w:rPr>
        <w:t xml:space="preserve">Nơi nhận kết quả bản giấy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(TÊN CƠ QUAN ĐĂNG KÝ KINH </w:t>
        <w:br/>
        <w:t xml:space="preserve">DOANH CẤP TỈNH)</w:t>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Trường hợp hồ sơ được tiếp nhận trên Hệ thống thông tin quốc gia về đăng ký doanh nghiệp sau giờ hành chính hoặc vào ngày nghỉ, ngày lễ, Tết theo quy định thì thời hạn trả kết quả theo quy định được tính từ ngày làm việc kế tiếp của ngày hồ sơ được tiếp nhận.</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