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9: Giấy chứng nhận đăng ký hộ kinh doanh (Dùng trong trường hợp cấp lại do mất, cháy, rách, nát hoặc bị tiêu hủy dưới hình thức khác)</w:t>
      </w:r>
    </w:p>
    <w:p>
      <w:r>
        <w:t>Mẫu số 9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  <w:r>
        <w:rPr>
          <w:rFonts w:ascii="Arial" w:hAnsi="Arial" w:cs="Arial"/>
          <w:sz w:val="24"/>
          <w:sz-cs w:val="24"/>
          <w:vertAlign w:val="superscript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ĐĂNG KÝ HỘ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(Dùng trong trường hợp cấp lại do mất, cháy, rách, nát hoặc bị tiêu huỷ dưới hình thức khác)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(Nội dung cấp lại)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</w:r>
      <w:r>
        <w:rPr>
          <w:rFonts w:ascii="Arial" w:hAnsi="Arial" w:cs="Arial"/>
          <w:sz w:val="24"/>
          <w:sz-cs w:val="24"/>
          <w:b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  <w:b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(Đã ký)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Ghi chú: Được cấp lại ngày …/…/……</w:t>
        <w:br/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Không có chữ ký, con dấu tại Mục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