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21</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Cấp đổi sang Giấy chứng nhận đăng ký doanh nghiệp đối với doanh nghiệp</w:t>
        <w:br/>
        <w:t xml:space="preserve"> được cấp Giấy chứng nhận đăng ký kinh doanh hoặc Giấy chứng nhận</w:t>
        <w:br/>
        <w:t xml:space="preserve"> đăng ký kinh doanh và đăng ký thuế</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được cấp đổi sang Giấy chứng nhận đăng ký doanh nghiệp theo quy định tại Nghị định số 168/2025/NĐ-CP ngày 30/6/2025 của Chính phủ về đăng ký doanh nghiệp và cập nhật, bổ sung mã ngành kinh tế cấp bốn trong Hệ thống ngành kinh tế Việt Nam đối với những ngành, nghề mà doanh nghiệp đã đăng ký kinh doanh như sau</w:t>
      </w:r>
      <w:r>
        <w:rPr>
          <w:rFonts w:ascii="Arial" w:hAnsi="Arial" w:cs="Arial"/>
          <w:sz w:val="24"/>
          <w:sz-cs w:val="24"/>
          <w:vertAlign w:val="superscript"/>
        </w:rPr>
        <w:t xml:space="preserve">1</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br/>
        <w:t xml:space="preserve">(</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 Doanh nghiệp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pPr>
        <w:spacing w:before="120"/>
      </w:pPr>
      <w:r>
        <w:rPr>
          <w:rFonts w:ascii="Arial" w:hAnsi="Arial" w:cs="Arial"/>
          <w:sz w:val="24"/>
          <w:sz-cs w:val="24"/>
          <w:vertAlign w:val="superscript"/>
        </w:rPr>
        <w:t xml:space="preserve">2</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