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r>
        <w:t>Mẫu số 25</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w:t>
      </w:r>
    </w:p>
    <w:p>
      <w:pPr>
        <w:jc w:val="center"/>
        <w:spacing w:before="120"/>
      </w:pPr>
      <w:r>
        <w:rPr>
          <w:rFonts w:ascii="Arial" w:hAnsi="Arial" w:cs="Arial"/>
          <w:sz w:val="24"/>
          <w:sz-cs w:val="24"/>
        </w:rPr>
        <w:t xml:space="preserve">Mã ngành</w:t>
      </w:r>
    </w:p>
    <w:p>
      <w:pPr>
        <w:jc w:val="center"/>
        <w:spacing w:before="120"/>
      </w:pPr>
      <w:r>
        <w:rPr>
          <w:rFonts w:ascii="Arial" w:hAnsi="Arial" w:cs="Arial"/>
          <w:sz w:val="24"/>
          <w:sz-cs w:val="24"/>
        </w:rPr>
        <w:t xml:space="preserve">Ngành, nghề kinh doanh chính (</w:t>
      </w:r>
      <w:r>
        <w:rPr>
          <w:rFonts w:ascii="Arial" w:hAnsi="Arial" w:cs="Arial"/>
          <w:sz w:val="24"/>
          <w:sz-cs w:val="24"/>
          <w:i/>
        </w:rPr>
        <w:t xml:space="preserve">đánh dấu X để chọn một trong các ngành, nghề đã kê khai</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