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71</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w:t>
      </w:r>
    </w:p>
    <w:p>
      <w:pPr>
        <w:jc w:val="center"/>
        <w:spacing w:before="120"/>
      </w:pPr>
      <w:r>
        <w:rPr>
          <w:rFonts w:ascii="Arial" w:hAnsi="Arial" w:cs="Arial"/>
          <w:sz w:val="24"/>
          <w:sz-cs w:val="24"/>
          <w:b/>
        </w:rPr>
        <w:t xml:space="preserve">Hồ sơ đăng ký doanh nghiệp/chi nhánh/văn phòng đại diện/ địa điểm kinh doanh qua mạng thông tin điện tử</w:t>
      </w:r>
    </w:p>
    <w:p>
      <w:pPr>
        <w:spacing w:before="120"/>
      </w:pPr>
      <w:r>
        <w:rPr>
          <w:rFonts w:ascii="Arial" w:hAnsi="Arial" w:cs="Arial"/>
          <w:sz w:val="24"/>
          <w:sz-cs w:val="24"/>
          <w:i/>
        </w:rPr>
        <w:t>(Cơ quan đăng ký kinh doanh cấp tỉnh)</w:t>
      </w:r>
      <w:r>
        <w:rPr>
          <w:rFonts w:ascii="Arial" w:hAnsi="Arial" w:cs="Arial"/>
          <w:sz w:val="24"/>
          <w:sz-cs w:val="24"/>
        </w:rPr>
        <w:t>:{co_quan_dkkd}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thoại:{dien_thoai_khac}Số fax:{fax}</w:t>
      </w:r>
    </w:p>
    <w:p>
      <w:pPr>
        <w:spacing w:before="120"/>
      </w:pPr>
      <w:r>
        <w:rPr>
          <w:rFonts w:ascii="Arial" w:hAnsi="Arial" w:cs="Arial"/>
          <w:sz w:val="24"/>
          <w:sz-cs w:val="24"/>
        </w:rPr>
        <w:t>Thư điện tử:{email_khac}Website:{website}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w:t>
      </w:r>
      <w:r>
        <w:rPr>
          <w:rFonts w:ascii="Arial" w:hAnsi="Arial" w:cs="Arial"/>
          <w:sz w:val="24"/>
          <w:sz-cs w:val="24"/>
          <w:i/>
        </w:rPr>
        <w:t>hoặc số Hộ chiếu, Hộ chiếu nước ngoài, giấy tờ có giá trị thay thế hộ chiếu nước ngoài</w:t>
      </w:r>
      <w:r>
        <w:rPr>
          <w:rFonts w:ascii="Arial" w:hAnsi="Arial" w:cs="Arial"/>
          <w:sz w:val="24"/>
          <w:sz-cs w:val="24"/>
        </w:rPr>
        <w:t>): {chu_hkd.so_cccd}</w:t>
      </w:r>
    </w:p>
    <w:p>
      <w:pPr>
        <w:spacing w:before="120"/>
      </w:pPr>
      <w:r>
        <w:rPr>
          <w:rFonts w:ascii="Arial" w:hAnsi="Arial" w:cs="Arial"/>
          <w:sz w:val="24"/>
          <w:sz-cs w:val="24"/>
        </w:rPr>
        <w:t>Điện thoại: {dien_thoai_khac} Thư điện tử:{email_khac}</w:t>
      </w:r>
    </w:p>
    <w:p>
      <w:pPr>
        <w:spacing w:before="120"/>
      </w:pPr>
      <w:r>
        <w:rPr>
          <w:rFonts w:ascii="Arial" w:hAnsi="Arial" w:cs="Arial"/>
          <w:sz w:val="24"/>
          <w:sz-cs w:val="24"/>
        </w:rPr>
        <w:t>01 bộ hồ sơ đăng ký doanh nghiệp/chi nhánh/văn phòng đại diện/địa điểm kinh doanh qua mạng thông tin điện tử mã số: ……………. về việc {ve_viec} của (</w:t>
      </w:r>
      <w:r>
        <w:rPr>
          <w:rFonts w:ascii="Arial" w:hAnsi="Arial" w:cs="Arial"/>
          <w:sz w:val="24"/>
          <w:sz-cs w:val="24"/>
          <w:i/>
        </w:rPr>
        <w:t>Tên doanh nghiệp</w:t>
      </w:r>
      <w:r>
        <w:rPr>
          <w:rFonts w:ascii="Arial" w:hAnsi="Arial" w:cs="Arial"/>
          <w:sz w:val="24"/>
          <w:sz-cs w:val="24"/>
        </w:rPr>
        <w:t>) ……………… Mã số doanh nghiệp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doanh nghiệp sẽ được gửi vào địa chỉ thư điện tử và tài khoản truy cập Hệ thống thông tin quốc gia về đăng ký doanh nghiệp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0"/>
      </w:tblGrid>
      <w:tr>
        <w:tc>
          <w:tcPr>
            <w:tcW w:type="dxa" w:w="8640"/>
          </w:tcPr>
          <w:p>
            <w:r>
              <w:rPr>
                <w:b/>
              </w:rPr>
              <w:t>(TÊN CƠ QUAN ĐĂNG KÝ KINH DOANH CẤP TỈNH)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rPr>
        <w:t xml:space="preserve"> Trường hợp hồ sơ được tiếp nhận trên Hệ thống thông tin quốc gia về đăng ký doanh nghiệp sau giờ hành chính hoặc vào ngày nghỉ, ngày lễ, Tết theo quy định thì thời hạn trả kết quả theo quy định được tính từ ngày làm việc kế tiếp của ngày hồ sơ được tiếp nhận.</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