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8: Danh sách cổ đông là nhà đầu tư nước ngoài</w:t>
      </w:r>
    </w:p>
    <w:p>
      <w:r>
        <w:t>Mẫu số 8</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Tên cổ đông là nhà đầu tư nước ngoài</w:t>
            </w:r>
          </w:p>
        </w:tc>
        <w:tc>
          <w:tcPr>
            <w:tcW w:type="dxa" w:w="1080"/>
          </w:tcPr>
          <w:p>
            <w:r>
              <w:rPr>
                <w:b/>
              </w:rPr>
              <w:t>Quốc gia</w:t>
            </w:r>
          </w:p>
        </w:tc>
        <w:tc>
          <w:tcPr>
            <w:tcW w:type="dxa" w:w="1080"/>
          </w:tcPr>
          <w:p>
            <w:r>
              <w:rPr>
                <w:b/>
              </w:rPr>
              <w:t>Mã số doanh nghiệp/Giấy tờ pháp lý</w:t>
            </w:r>
          </w:p>
        </w:tc>
        <w:tc>
          <w:tcPr>
            <w:tcW w:type="dxa" w:w="1080"/>
          </w:tcPr>
          <w:p>
            <w:r>
              <w:rPr>
                <w:b/>
              </w:rPr>
              <w:t>Địa chỉ trụ sở chính/Địa chỉ liên lạc</w:t>
            </w:r>
          </w:p>
        </w:tc>
        <w:tc>
          <w:tcPr>
            <w:tcW w:type="dxa" w:w="1080"/>
          </w:tcPr>
          <w:p>
            <w:r>
              <w:rPr>
                <w:b/>
              </w:rPr>
              <w:t>Tổng số cổ phần</w:t>
            </w:r>
          </w:p>
        </w:tc>
        <w:tc>
          <w:tcPr>
            <w:tcW w:type="dxa" w:w="1080"/>
          </w:tcPr>
          <w:p>
            <w:r>
              <w:rPr>
                <w:b/>
              </w:rPr>
              <w:t>Tỷ lệ (%)</w:t>
            </w:r>
          </w:p>
        </w:tc>
        <w:tc>
          <w:tcPr>
            <w:tcW w:type="dxa" w:w="1080"/>
          </w:tcPr>
          <w:p>
            <w:r>
              <w:rPr>
                <w:b/>
              </w:rPr>
              <w:t>Chữ ký</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{#ds_co_dong_nn}{_stt}</w:t>
            </w:r>
          </w:p>
        </w:tc>
        <w:tc>
          <w:tcPr>
            <w:tcW w:type="dxa" w:w="1080"/>
          </w:tcPr>
          <w:p>
            <w:r>
              <w:t>{ten_cd}</w:t>
            </w:r>
          </w:p>
        </w:tc>
        <w:tc>
          <w:tcPr>
            <w:tcW w:type="dxa" w:w="1080"/>
          </w:tcPr>
          <w:p>
            <w:r>
              <w:t>{quoc_gia}</w:t>
            </w:r>
          </w:p>
        </w:tc>
        <w:tc>
          <w:tcPr>
            <w:tcW w:type="dxa" w:w="1080"/>
          </w:tcPr>
          <w:p>
            <w:r>
              <w:t>{ma_so}</w:t>
            </w:r>
          </w:p>
        </w:tc>
        <w:tc>
          <w:tcPr>
            <w:tcW w:type="dxa" w:w="1080"/>
          </w:tcPr>
          <w:p>
            <w:r>
              <w:t>{dia_chi}</w:t>
            </w:r>
          </w:p>
        </w:tc>
        <w:tc>
          <w:tcPr>
            <w:tcW w:type="dxa" w:w="1080"/>
          </w:tcPr>
          <w:p>
            <w:r>
              <w:t>{so_co_phan}</w:t>
            </w:r>
          </w:p>
        </w:tc>
        <w:tc>
          <w:tcPr>
            <w:tcW w:type="dxa" w:w="1080"/>
          </w:tcPr>
          <w:p>
            <w:r>
              <w:t>{ty_le}</w:t>
            </w:r>
          </w:p>
        </w:tc>
        <w:tc>
          <w:tcPr>
            <w:tcW w:type="dxa" w:w="1080"/>
          </w:tcPr>
          <w:p>
            <w:r>
              <w:t>{chu_ky}{/ds_co_dong_nn}</w:t>
            </w:r>
          </w:p>
        </w:tc>
      </w:tr>
    </w:tbl>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kê khai trong trường hợp cổ đông là nhà đầu tư nước ngoài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10.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tab/>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11.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11.1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11.2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11.3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 xml:space="preserve">Số nhà/phòng, ngách/hẻm, ngõ/kiệt, đường/phố/đại lộ, tổ/xóm/ấp/thôn: …</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11.4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11.5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r>
        <w:rPr>
          <w:rFonts w:ascii="Arial" w:hAnsi="Arial" w:cs="Arial"/>
          <w:sz w:val="24"/>
          <w:sz-cs w:val="24"/>
        </w:rPr>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11.7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11.8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11.9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jc w:val="center"/>
        <w:spacing w:before="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before="120"/>
      </w:pPr>
      <w:r>
        <w:rPr>
          <w:rFonts w:ascii="Arial" w:hAnsi="Arial" w:cs="Arial"/>
          <w:sz w:val="24"/>
          <w:sz-cs w:val="24"/>
          <w:b/>
        </w:rPr>
        <w:t xml:space="preserve">12.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13.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QUẢN TRỊ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quản trị của công ty sau chuyển đổi kê khai thông tin vào phần này.</w:t>
      </w:r>
    </w:p>
    <w:p>
      <w:pPr>
        <w:spacing w:before="120"/>
      </w:pPr>
      <w:r>
        <w:rPr>
          <w:rFonts w:ascii="Arial" w:hAnsi="Arial" w:cs="Arial"/>
          <w:sz w:val="24"/>
          <w:sz-cs w:val="24"/>
          <w:vertAlign w:val="superscript"/>
        </w:rPr>
        <w:t xml:space="preserve">3</w:t>
      </w:r>
      <w:r>
        <w:rPr>
          <w:rFonts w:ascii="Arial" w:hAnsi="Arial" w:cs="Arial"/>
          <w:sz w:val="24"/>
          <w:sz-cs w:val="24"/>
        </w:rPr>
        <w:t xml:space="preserve"> Trường hợp đăng ký thành lập công ty cổ phần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w:t>
      </w:r>
      <w:r>
        <w:rPr>
          <w:rFonts w:ascii="Arial" w:hAnsi="Arial" w:cs="Arial"/>
          <w:sz w:val="24"/>
          <w:sz-cs w:val="24"/>
        </w:rPr>
        <w:t xml:space="preserve"> 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 </w:t>
      </w:r>
      <w:r>
        <w:rPr>
          <w:rFonts w:ascii="Arial" w:hAnsi="Arial" w:cs="Arial"/>
          <w:sz w:val="24"/>
          <w:sz-cs w:val="24"/>
        </w:rPr>
        <w:t xml:space="preserve">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w:t>
      </w:r>
      <w:r>
        <w:rPr>
          <w:rFonts w:ascii="Arial" w:hAnsi="Arial" w:cs="Arial"/>
          <w:sz w:val="24"/>
          <w:sz-cs w:val="24"/>
        </w:rPr>
        <w:t xml:space="preserve"> -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w:t>
      </w:r>
    </w:p>
    <w:p>
      <w:pPr>
        <w:spacing w:before="120"/>
      </w:pPr>
      <w:r>
        <w:rPr>
          <w:rFonts w:ascii="Arial" w:hAnsi="Arial" w:cs="Arial"/>
          <w:sz w:val="24"/>
          <w:sz-cs w:val="24"/>
          <w:vertAlign w:val="superscript"/>
        </w:rPr>
        <w:t xml:space="preserve">8 </w:t>
      </w:r>
      <w:r>
        <w:rPr>
          <w:rFonts w:ascii="Arial" w:hAnsi="Arial" w:cs="Arial"/>
          <w:sz w:val="24"/>
          <w:sz-cs w:val="24"/>
        </w:rPr>
        <w:t xml:space="preserve">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w:t>
      </w:r>
      <w:r>
        <w:rPr>
          <w:rFonts w:ascii="Arial" w:hAnsi="Arial" w:cs="Arial"/>
          <w:sz w:val="24"/>
          <w:sz-cs w:val="24"/>
        </w:rPr>
        <w:t xml:space="preserve"> Không kê khai trong trường hợp thành lập doanh nghiệp trên cơ sở chuyển đổi loại hình doanh nghiệp.</w:t>
      </w:r>
    </w:p>
    <w:p>
      <w:pPr>
        <w:spacing w:before="120"/>
      </w:pPr>
      <w:r>
        <w:rPr>
          <w:rFonts w:ascii="Arial" w:hAnsi="Arial" w:cs="Arial"/>
          <w:sz w:val="24"/>
          <w:sz-cs w:val="24"/>
          <w:vertAlign w:val="superscript"/>
        </w:rPr>
        <w:t xml:space="preserve">10</w:t>
      </w:r>
      <w:r>
        <w:rPr>
          <w:rFonts w:ascii="Arial" w:hAnsi="Arial" w:cs="Arial"/>
          <w:sz w:val="24"/>
          <w:sz-cs w:val="24"/>
        </w:rPr>
        <w:t xml:space="preserve"> 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 </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jc w:val="right"/>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