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24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khôi phục Giấy chứng nhận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nghiệp;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Quyết định số{can_cu} ngày{ngay_ky_vb} tháng{thang_ky_vb} năm{nam_ky_vb} về việc hủy bỏ Quyết định thu hồi Giấy chứng nhận đăng ký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thông báo về việc khôi phục Giấy chứng nhận đăng ký hộ kinh doanh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Trụ sở của hộ kinh doanh:{hkd_tru_so}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thoại:{dien_thoai_khac} Thư điện tử (nếu có): {email_tru_so}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</w:r>
      <w:r>
        <w:rPr>
          <w:rFonts w:ascii="Arial" w:hAnsi="Arial" w:cs="Arial"/>
          <w:sz w:val="24"/>
          <w:sz-cs w:val="24"/>
        </w:rPr>
        <w:t>- Tên, trụ sở của hộ kinh doanh;</w:t>
        <w:br/>
        <w:t xml:space="preserve">- Cơ quan quản lý thuế{noi_nhan} </w:t>
      </w:r>
      <w:r>
        <w:rPr>
          <w:rFonts w:ascii="Arial" w:hAnsi="Arial" w:cs="Arial"/>
          <w:sz w:val="24"/>
          <w:sz-cs w:val="24"/>
          <w:i/>
        </w:rPr>
        <w:t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>;</w:t>
        <w:br/>
        <w:t>- (</w:t>
      </w:r>
      <w:r>
        <w:rPr>
          <w:rFonts w:ascii="Arial" w:hAnsi="Arial" w:cs="Arial"/>
          <w:sz w:val="24"/>
          <w:sz-cs w:val="24"/>
          <w:i/>
        </w:rPr>
        <w:t>Tên các Cơ quan đăng ký kinh doanh cấp xã</w:t>
      </w:r>
      <w:r>
        <w:rPr>
          <w:rFonts w:ascii="Arial" w:hAnsi="Arial" w:cs="Arial"/>
          <w:sz w:val="24"/>
          <w:sz-cs w:val="24"/>
        </w:rPr>
        <w:t>) {co_quan_dkkd};</w:t>
        <w:br/>
        <w:t>- ..........;</w:t>
        <w:br/>
        <w:t>- Lưu:{luu_vb}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