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10: Thông báo về việc sửa đổi, bổ sung hồ sơ đăng ký hộ kinh doanh</w:t>
      </w:r>
    </w:p>
    <w:p>
      <w:r>
        <w:t>Mẫu số 10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sửa đổi, bổ sung hồ sơ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Sau khi xem xét hồ sơ đã nhận ngày {da_nhan_ngay} của Ông/Bà: {ong_ba_nhan_hs} là ......................................................về việc: {ve_viec}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đề nghị những nội dung cần sửa đổi, bổ sung trong hồ sơ và lý do sửa đổi, bổ sung như sau: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{hkd_ma_so}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hạn để hộ kinh doanh sửa đổi, bổ sung hồ sơ đăng ký hộ kinh doanh là 60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ra Thông báo yêu cầu sửa đổi, bổ sung hồ sơ. Sau thời hạn nêu trên, nếu hộ kinh doanh không nộp hồ sơ sửa đổi, bổ sung,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huỷ hồ sơ đăng ký hộ kinh doanh theo quy trình trên Hệ thống thông tin về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nhận được hồ sơ sửa đổi, bổ sung theo yêu cầu nói trên được tính là ngày nhận hồ sơ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