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16: Quyết định về việc huỷ bỏ quyết định thu hồi và khôi phục Giấy chứng nhận đăng ký hộ kinh doanh</w:t>
      </w:r>
    </w:p>
    <w:p>
      <w:r>
        <w:t>Mẫu số 16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huỷ bỏ quyết định thu hồi và khôi phục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 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 (nếu có)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Trên cơ sở xác định của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hộ kinh doanh không thuộc trường hợp bị thu hồi Giấy chứng nhận đăng ký hộ kinh doanh </w:t>
      </w:r>
      <w:r>
        <w:rPr>
          <w:rFonts w:ascii="Arial" w:hAnsi="Arial" w:cs="Arial"/>
          <w:sz w:val="24"/>
          <w:sz-cs w:val="24"/>
          <w:i/>
        </w:rPr>
        <w:t xml:space="preserve">(đối với trường hợp quy định tại điểm a khoản 1 Điều 108 Nghị định số 168/2025/NĐ-CP)</w:t>
      </w:r>
      <w:r>
        <w:rPr>
          <w:rFonts w:ascii="Arial" w:hAnsi="Arial" w:cs="Arial"/>
          <w:sz w:val="24"/>
          <w:sz-cs w:val="24"/>
        </w:rPr>
        <w:t xml:space="preserve">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Trên cơ sở đề nghị của ...... </w:t>
      </w:r>
      <w:r>
        <w:rPr>
          <w:rFonts w:ascii="Arial" w:hAnsi="Arial" w:cs="Arial"/>
          <w:sz w:val="24"/>
          <w:sz-cs w:val="24"/>
          <w:i/>
        </w:rPr>
        <w:t xml:space="preserve">(tên cơ quan quản lý thuế) </w:t>
      </w:r>
      <w:r>
        <w:rPr>
          <w:rFonts w:ascii="Arial" w:hAnsi="Arial" w:cs="Arial"/>
          <w:sz w:val="24"/>
          <w:sz-cs w:val="24"/>
        </w:rPr>
        <w:t xml:space="preserve">tại Văn bản số .... ngày {ngay_ky_vb} về việc {ve_viec} </w:t>
      </w:r>
      <w:r>
        <w:rPr>
          <w:rFonts w:ascii="Arial" w:hAnsi="Arial" w:cs="Arial"/>
          <w:sz w:val="24"/>
          <w:sz-cs w:val="24"/>
          <w:i/>
        </w:rPr>
        <w:t>(đối với trường hợp quy định tại điểm b khoản 1 Điều 108 Nghị định số 168/2025/NĐ-CP)</w:t>
      </w:r>
      <w:r>
        <w:rPr>
          <w:rFonts w:ascii="Arial" w:hAnsi="Arial" w:cs="Arial"/>
          <w:sz w:val="24"/>
          <w:sz-cs w:val="24"/>
        </w:rPr>
        <w:t>.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1</w:t>
      </w:r>
      <w:r>
        <w:rPr>
          <w:rFonts w:ascii="Arial" w:hAnsi="Arial" w:cs="Arial"/>
          <w:sz w:val="24"/>
          <w:sz-cs w:val="24"/>
        </w:rPr>
        <w:t xml:space="preserve">: Huỷ bỏ Quyết định thu hồi Giấy chứng nhận đăng ký hộ kinh doanh đối với hộ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2</w:t>
      </w:r>
      <w:r>
        <w:rPr>
          <w:rFonts w:ascii="Arial" w:hAnsi="Arial" w:cs="Arial"/>
          <w:sz w:val="24"/>
          <w:sz-cs w:val="24"/>
        </w:rPr>
        <w:t xml:space="preserve">: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khôi phục Giấy chứng nhận đăng ký hộ kinh doanh nêu tại Điều 1 Quyết định này, đồng thời đăng tải Quyết định này trên Cổng thông tin quốc gia về 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3:</w:t>
      </w:r>
      <w:r>
        <w:rPr>
          <w:rFonts w:ascii="Arial" w:hAnsi="Arial" w:cs="Arial"/>
          <w:sz w:val="24"/>
          <w:sz-cs w:val="24"/>
        </w:rPr>
        <w:t xml:space="preserve"> Quyết định này có hiệu lực từ ngày ký.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Tên, trụ sở của hộ kinh doanh bị thu hồi GCNĐKHKD;</w:t>
        <w:br/>
        <w:t xml:space="preserve">- Cơ quan quản lý thuế …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