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PL2 - Mau so 4: Thông báo về việc chấm dứt hoạt động hộ kinh doanh</w:t>
      </w:r>
    </w:p>
    <w:p>
      <w:r>
        <w:t>Mẫu số 4</w:t>
      </w:r>
    </w:p>
    <w:tbl xmlns:ns0="urn:orca:hdr2col">
      <w:tblPr>
        <w:tblW w:type="dxa" w:w="8640"/>
        <w:tblBorders>
          <w:top w:val="nil"/>
          <w:left w:val="nil"/>
          <w:bottom w:val="nil"/>
          <w:right w:val="nil"/>
          <w:insideH w:val="nil"/>
          <w:insideV w:val="nil"/>
        </w:tblBorders>
        <w:tblLayout w:type="fixed"/>
        <w:tblCellMar>
          <w:left w:w="0" w:type="dxa"/>
          <w:right w:w="0" w:type="dxa"/>
        </w:tblCellMar>
        <w:tblLook w:firstColumn="1" w:firstRow="1" w:lastColumn="0" w:lastRow="0" w:noHBand="0" w:noVBand="1" w:val="04A0"/>
      </w:tblPr>
      <w:tblGrid>
        <w:gridCol w:w="3629"/>
        <w:gridCol w:w="5011"/>
      </w:tblGrid>
      <w:tr>
        <w:tc>
          <w:tcPr>
            <w:tcW w:type="dxa" w:w="3629"/>
            <w:tcBorders>
              <w:top w:val="nil"/>
              <w:left w:val="nil"/>
              <w:bottom w:val="nil"/>
              <w:right w:val="nil"/>
              <w:insideH w:val="nil"/>
              <w:insideV w:val="nil"/>
            </w:tcBorders>
          </w:tcPr>
          <w:p>
            <w:pPr>
              <w:jc w:val="left"/>
              <w:spacing w:before="120"/>
            </w:pPr>
            <w:r>
              <w:rPr>
                <w:rFonts w:ascii="Arial" w:hAnsi="Arial"/>
                <w:b/>
              </w:rPr>
              <w:t>{hkd_ten_tieng_viet_2}</w:t>
            </w:r>
          </w:p>
        </w:tc>
        <w:tc>
          <w:tcPr>
            <w:tcW w:type="dxa" w:w="5011"/>
            <w:tcBorders>
              <w:top w:val="nil"/>
              <w:left w:val="nil"/>
              <w:bottom w:val="nil"/>
              <w:right w:val="nil"/>
              <w:insideH w:val="nil"/>
              <w:insideV w:val="nil"/>
            </w:tcBorders>
          </w:tcPr>
          <w:p>
            <w:pPr>
              <w:jc w:val="center"/>
              <w:spacing w:before="120"/>
            </w:pPr>
            <w:r>
              <w:rPr>
                <w:rFonts w:ascii="Arial" w:hAnsi="Arial" w:cs="Arial"/>
                <w:sz w:val="24"/>
                <w:sz-cs w:val="24"/>
                <w:b/>
              </w:rPr>
              <w:t xml:space="preserve">CỘNG HÒA XÃ HỘI CHỦ NGHĨA VIỆT NAM</w:t>
              <w:br/>
            </w:r>
            <w:r>
              <w:rPr>
                <w:rFonts w:ascii="Arial" w:hAnsi="Arial" w:cs="Arial"/>
                <w:sz w:val="24"/>
                <w:sz-cs w:val="24"/>
                <w:b/>
                <w:u w:val="single"/>
              </w:rPr>
              <w:t xml:space="preserve">Độc lập - Tự do - Hạnh phúc</w:t>
            </w:r>
            <w:r>
              <w:rPr>
                <w:rFonts w:ascii="Arial" w:hAnsi="Arial" w:cs="Arial"/>
                <w:sz w:val="24"/>
                <w:sz-cs w:val="24"/>
              </w:rPr>
              <w:t xml:space="preserve"/>
            </w:r>
          </w:p>
        </w:tc>
      </w:tr>
      <w:tr>
        <w:tc>
          <w:tcPr>
            <w:tcW w:type="dxa" w:w="3629"/>
            <w:tcBorders>
              <w:top w:val="nil"/>
              <w:left w:val="nil"/>
              <w:bottom w:val="nil"/>
              <w:right w:val="nil"/>
              <w:insideH w:val="nil"/>
              <w:insideV w:val="nil"/>
            </w:tcBorders>
          </w:tcPr>
          <w:p>
            <w:pPr>
              <w:jc w:val="left"/>
              <w:spacing w:before="120"/>
            </w:pPr>
            <w:r>
              <w:rPr>
                <w:rFonts w:ascii="Arial" w:hAnsi="Arial" w:cs="Arial"/>
                <w:sz w:val="24"/>
                <w:sz-cs w:val="24"/>
              </w:rPr>
              <w:t>Số: {so_van_ban}</w:t>
            </w:r>
          </w:p>
        </w:tc>
        <w:tc>
          <w:tcPr>
            <w:tcW w:type="dxa" w:w="5011"/>
            <w:tcBorders>
              <w:top w:val="nil"/>
              <w:left w:val="nil"/>
              <w:bottom w:val="nil"/>
              <w:right w:val="nil"/>
              <w:insideH w:val="nil"/>
              <w:insideV w:val="nil"/>
            </w:tcBorders>
          </w:tcPr>
          <w:p>
            <w:pPr>
              <w:jc w:val="right"/>
              <w:spacing w:before="120"/>
            </w:pPr>
            <w:r>
              <w:rPr>
                <w:rFonts w:ascii="Arial" w:hAnsi="Arial" w:cs="Arial"/>
                <w:sz w:val="24"/>
                <w:sz-cs w:val="24"/>
                <w:i/>
              </w:rPr>
              <w:t>{dia_diem_ky}, ngày {ngay_ky_vb} tháng {thang_ky_vb} năm {nam_ky_vb}</w:t>
            </w:r>
          </w:p>
        </w:tc>
      </w:tr>
    </w:tbl>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hộ kinh doanh</w:t>
      </w:r>
    </w:p>
    <w:p>
      <w:pPr>
        <w:jc w:val="center"/>
        <w:spacing w:before="120"/>
      </w:pPr>
      <w:r>
        <w:rPr>
          <w:rFonts w:ascii="Arial" w:hAnsi="Arial" w:cs="Arial"/>
          <w:sz w:val="24"/>
          <w:sz-cs w:val="24"/>
        </w:rPr>
        <w:t xml:space="preserve">Kính gửi: </w:t>
      </w:r>
      <w:r>
        <w:rPr>
          <w:rFonts w:ascii="Arial" w:hAnsi="Arial" w:cs="Arial"/>
          <w:sz w:val="24"/>
          <w:sz-cs w:val="24"/>
          <w:i/>
        </w:rPr>
        <w:t>(Cơ quan đăng ký kinh doanh cấp xã)</w:t>
      </w:r>
      <w:r>
        <w:rPr>
          <w:rFonts w:ascii="Arial" w:hAnsi="Arial" w:cs="Arial"/>
          <w:sz w:val="24"/>
          <w:sz-cs w:val="24"/>
        </w:rPr>
        <w:t xml:space="preserve"> {co_quan_dkkd}</w:t>
      </w:r>
    </w:p>
    <w:p>
      <w:pPr>
        <w:spacing w:before="120"/>
      </w:pPr>
      <w:r>
        <w:rPr>
          <w:rFonts w:ascii="Arial" w:hAnsi="Arial" w:cs="Arial"/>
          <w:sz w:val="24"/>
          <w:sz-cs w:val="24"/>
        </w:rPr>
        <w:t xml:space="preserve">Tên hộ kinh doanh </w:t>
      </w:r>
      <w:r>
        <w:rPr>
          <w:rFonts w:ascii="Arial" w:hAnsi="Arial" w:cs="Arial"/>
          <w:sz w:val="24"/>
          <w:sz-cs w:val="24"/>
          <w:i/>
        </w:rPr>
        <w:t>(ghi bằng chữ in hoa)</w:t>
      </w:r>
      <w:r>
        <w:rPr>
          <w:rFonts w:ascii="Arial" w:hAnsi="Arial" w:cs="Arial"/>
          <w:sz w:val="24"/>
          <w:sz-cs w:val="24"/>
        </w:rPr>
        <w:t>: {hkd_ten_tieng_viet_2}</w:t>
      </w:r>
    </w:p>
    <w:p>
      <w:pPr>
        <w:spacing w:before="120"/>
      </w:pPr>
      <w:r>
        <w:rPr>
          <w:rFonts w:ascii="Arial" w:hAnsi="Arial" w:cs="Arial"/>
          <w:sz w:val="24"/>
          <w:sz-cs w:val="24"/>
        </w:rPr>
        <w:t>Mã số hộ kinh doanh: {hkd_ma_so}</w:t>
      </w:r>
    </w:p>
    <w:p>
      <w:pPr>
        <w:spacing w:before="120"/>
      </w:pPr>
      <w:r>
        <w:rPr>
          <w:rFonts w:ascii="Arial" w:hAnsi="Arial" w:cs="Arial"/>
          <w:sz w:val="24"/>
          <w:sz-cs w:val="24"/>
        </w:rPr>
        <w:t xml:space="preserve">Hộ kinh doanh cam kết đã thanh toán đầy đủ các khoản nợ, gồm cả nợ thuế và nghĩa vụ tài chính khác/đã đạt được thỏa thuận với các chủ nợ về việc thực hiện nghĩa vụ tài chính trước khi nộp hồ sơ đăng ký chấm dứt hoạt động hộ kinh doanh.</w:t>
      </w:r>
    </w:p>
    <w:p>
      <w:pPr>
        <w:spacing w:before="120"/>
      </w:pPr>
      <w:r>
        <w:rPr>
          <w:rFonts w:ascii="Arial" w:hAnsi="Arial" w:cs="Arial"/>
          <w:sz w:val="24"/>
          <w:sz-cs w:val="24"/>
        </w:rPr>
        <w:t xml:space="preserve">Hộ kinh doanh cam kết hoàn toàn chịu trách nhiệm trước pháp luật về tính hợp pháp, chính xác, trung thực của nội dung Thông báo này.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CHỦ HỘ KINH DOANH/NGƯỜI THỪA KẾ</w:t>
        <w:br/>
        <w:t xml:space="preserve"/>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rPr>
        <w:t xml:space="preserve">_______________________________________</w:t>
      </w:r>
    </w:p>
    <w:p>
      <w:pPr>
        <w:spacing w:before="120"/>
      </w:pPr>
      <w:r>
        <w:rPr>
          <w:rFonts w:ascii="Arial" w:hAnsi="Arial" w:cs="Arial"/>
          <w:sz w:val="24"/>
          <w:sz-cs w:val="24"/>
        </w:rPr>
        <w:t xml:space="preserve"> Chủ hộ kinh doanh hoặc người thừa kế/người quản lý tài sản của chủ hộ kinh doanh ký trực tiếp vào phần này. Trường hợp chấm dứt hoạt động hộ kinh doanh do chủ hộ kinh doanh là cá nhân thành lập chết thì người thừa kế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