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Nginx与Caddy对比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一共四台服务器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17"/>
        <w:gridCol w:w="1811"/>
        <w:gridCol w:w="116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</w:t>
            </w:r>
          </w:p>
        </w:tc>
        <w:tc>
          <w:tcPr>
            <w:tcW w:w="1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应用配置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高可用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VIP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192.168.0.121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App1</w:t>
            </w:r>
          </w:p>
        </w:tc>
        <w:tc>
          <w:tcPr>
            <w:tcW w:w="1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Tomcat服务器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192.168.0.122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App2</w:t>
            </w:r>
          </w:p>
        </w:tc>
        <w:tc>
          <w:tcPr>
            <w:tcW w:w="1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Tomcat服务器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192.168.0.107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Ngx1</w:t>
            </w:r>
          </w:p>
        </w:tc>
        <w:tc>
          <w:tcPr>
            <w:tcW w:w="1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Caddy服务器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KeepAlived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192.168.0.146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Ngx2</w:t>
            </w:r>
          </w:p>
        </w:tc>
        <w:tc>
          <w:tcPr>
            <w:tcW w:w="1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Nginx服务器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KeepAlived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192.168.0.101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架构图：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217805</wp:posOffset>
            </wp:positionV>
            <wp:extent cx="5269230" cy="2425065"/>
            <wp:effectExtent l="0" t="0" r="0" b="0"/>
            <wp:wrapSquare wrapText="bothSides"/>
            <wp:docPr id="2" name="图片 2" descr="架构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架构图 (1)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压测方式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四台虚拟机：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两台Tomcat服务器：CPU  I5-6300HQ 虚拟的 1核2G内存 的centos7.1系统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两台反代服务器：CPU I5-1135G7 虚拟的 1核2G内存 的centos7.1系统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压测工具：Jmeter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线程配置：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一秒钟内启动500个线程，每个线程重复发送请求100次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压测结果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73"/>
        <w:gridCol w:w="2458"/>
        <w:gridCol w:w="878"/>
        <w:gridCol w:w="990"/>
        <w:gridCol w:w="940"/>
        <w:gridCol w:w="1190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89" w:hRule="atLeast"/>
        </w:trPr>
        <w:tc>
          <w:tcPr>
            <w:tcW w:w="8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2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访问请求</w:t>
            </w:r>
          </w:p>
        </w:tc>
        <w:tc>
          <w:tcPr>
            <w:tcW w:w="8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总请求量</w:t>
            </w:r>
          </w:p>
        </w:tc>
        <w:tc>
          <w:tcPr>
            <w:tcW w:w="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错误率</w:t>
            </w:r>
          </w:p>
        </w:tc>
        <w:tc>
          <w:tcPr>
            <w:tcW w:w="9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TPS /sec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数据量KB/sec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CPU占有率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8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</w:t>
            </w:r>
          </w:p>
        </w:tc>
        <w:tc>
          <w:tcPr>
            <w:tcW w:w="2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http://192.168.0.146</w:t>
            </w: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8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50000</w:t>
            </w:r>
          </w:p>
        </w:tc>
        <w:tc>
          <w:tcPr>
            <w:tcW w:w="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  <w:tc>
          <w:tcPr>
            <w:tcW w:w="9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879.0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9820.01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</w:trPr>
        <w:tc>
          <w:tcPr>
            <w:tcW w:w="8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Caddy</w:t>
            </w:r>
          </w:p>
        </w:tc>
        <w:tc>
          <w:tcPr>
            <w:tcW w:w="2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http://192.168.0.1</w:t>
            </w:r>
            <w:r>
              <w:rPr>
                <w:rFonts w:hint="eastAsia"/>
                <w:lang w:val="en-US" w:eastAsia="zh-CN"/>
              </w:rPr>
              <w:t>07/</w:t>
            </w:r>
          </w:p>
        </w:tc>
        <w:tc>
          <w:tcPr>
            <w:tcW w:w="8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50000</w:t>
            </w:r>
          </w:p>
        </w:tc>
        <w:tc>
          <w:tcPr>
            <w:tcW w:w="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29.61%</w:t>
            </w:r>
          </w:p>
        </w:tc>
        <w:tc>
          <w:tcPr>
            <w:tcW w:w="9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1463.1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11545.89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92%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单次测试响应图像：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3141980"/>
            <wp:effectExtent l="0" t="0" r="10795" b="1270"/>
            <wp:docPr id="4" name="图片 4" descr="Nginx Response Tim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ginx Response Time Grap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2463800"/>
            <wp:effectExtent l="0" t="0" r="6350" b="12700"/>
            <wp:docPr id="3" name="图片 3" descr="Nginx Aggregat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ginx Aggregate Grap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Caddy: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3346450"/>
            <wp:effectExtent l="0" t="0" r="15240" b="6350"/>
            <wp:docPr id="5" name="图片 5" descr="Caddy Response Tim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ddy Response Time Grap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5420" cy="1995170"/>
            <wp:effectExtent l="0" t="0" r="11430" b="5080"/>
            <wp:docPr id="6" name="图片 6" descr="Caddy Aggregat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ddy Aggregate Grap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对比图：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单位：毫秒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平均响应时间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响应时间中位数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90%以上的响应时间低于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95%以上的响应时间低于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99%以上的响应时间低于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最小响应时间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最长响应时间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554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553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594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899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Caddy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245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269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459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526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1,758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323F4"/>
    <w:rsid w:val="43D323F4"/>
    <w:rsid w:val="7E65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Nginx</a:t>
            </a:r>
            <a:r>
              <a:rPr altLang="en-US"/>
              <a:t>与</a:t>
            </a:r>
            <a:r>
              <a:rPr lang="en-US" altLang="zh-CN"/>
              <a:t>Caddy</a:t>
            </a:r>
            <a:r>
              <a:rPr altLang="en-US"/>
              <a:t>压测对比图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Nginx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Sheet1!$A$8:$A$14</c:f>
              <c:strCache>
                <c:ptCount val="7"/>
                <c:pt idx="0">
                  <c:v>平均响应时间</c:v>
                </c:pt>
                <c:pt idx="1">
                  <c:v>响应时间中位数</c:v>
                </c:pt>
                <c:pt idx="2">
                  <c:v>90%以上的响应时间低于</c:v>
                </c:pt>
                <c:pt idx="3">
                  <c:v>95%以上的响应时间低于</c:v>
                </c:pt>
                <c:pt idx="4">
                  <c:v>99%以上的响应时间低于</c:v>
                </c:pt>
                <c:pt idx="5">
                  <c:v>最小响应时间</c:v>
                </c:pt>
                <c:pt idx="6">
                  <c:v>最长响应时间</c:v>
                </c:pt>
              </c:strCache>
            </c:strRef>
          </c:cat>
          <c:val>
            <c:numRef>
              <c:f>Sheet1!$B$8:$B$14</c:f>
              <c:numCache>
                <c:formatCode>General</c:formatCode>
                <c:ptCount val="7"/>
                <c:pt idx="0">
                  <c:v>554</c:v>
                </c:pt>
                <c:pt idx="1">
                  <c:v>553</c:v>
                </c:pt>
                <c:pt idx="2">
                  <c:v>594</c:v>
                </c:pt>
                <c:pt idx="3">
                  <c:v>625</c:v>
                </c:pt>
                <c:pt idx="4">
                  <c:v>899</c:v>
                </c:pt>
                <c:pt idx="5">
                  <c:v>25</c:v>
                </c:pt>
                <c:pt idx="6" c:formatCode="#,##0">
                  <c:v>1727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Caddy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Sheet1!$A$8:$A$14</c:f>
              <c:strCache>
                <c:ptCount val="7"/>
                <c:pt idx="0">
                  <c:v>平均响应时间</c:v>
                </c:pt>
                <c:pt idx="1">
                  <c:v>响应时间中位数</c:v>
                </c:pt>
                <c:pt idx="2">
                  <c:v>90%以上的响应时间低于</c:v>
                </c:pt>
                <c:pt idx="3">
                  <c:v>95%以上的响应时间低于</c:v>
                </c:pt>
                <c:pt idx="4">
                  <c:v>99%以上的响应时间低于</c:v>
                </c:pt>
                <c:pt idx="5">
                  <c:v>最小响应时间</c:v>
                </c:pt>
                <c:pt idx="6">
                  <c:v>最长响应时间</c:v>
                </c:pt>
              </c:strCache>
            </c:strRef>
          </c:cat>
          <c:val>
            <c:numRef>
              <c:f>Sheet1!$C$8:$C$14</c:f>
              <c:numCache>
                <c:formatCode>General</c:formatCode>
                <c:ptCount val="7"/>
                <c:pt idx="0">
                  <c:v>245</c:v>
                </c:pt>
                <c:pt idx="1">
                  <c:v>269</c:v>
                </c:pt>
                <c:pt idx="2">
                  <c:v>459</c:v>
                </c:pt>
                <c:pt idx="3">
                  <c:v>526</c:v>
                </c:pt>
                <c:pt idx="4">
                  <c:v>920</c:v>
                </c:pt>
                <c:pt idx="5">
                  <c:v>0</c:v>
                </c:pt>
                <c:pt idx="6" c:formatCode="#,##0">
                  <c:v>1758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1609398"/>
        <c:axId val="92804836"/>
      </c:barChart>
      <c:catAx>
        <c:axId val="72160939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804836"/>
        <c:crosses val="autoZero"/>
        <c:auto val="1"/>
        <c:lblAlgn val="ctr"/>
        <c:lblOffset val="100"/>
        <c:noMultiLvlLbl val="0"/>
      </c:catAx>
      <c:valAx>
        <c:axId val="928048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160939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2020-12-21T14:33:00Z</dcterms:created>
  <dc:creator>Zednight</dc:creator>
  <cp:lastModifiedBy>Zednight</cp:lastModifiedBy>
  <dcterms:modified xsi:type="dcterms:W3CDTF">2020-12-22T02:59:17Z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