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1F3864"/>
          <w:sz w:val="32"/>
        </w:rPr>
        <w:t>MEMORANDUM</w:t>
      </w:r>
    </w:p>
    <w:p>
      <w:pPr>
        <w:spacing w:after="40"/>
      </w:pPr>
      <w:r>
        <w:rPr>
          <w:b/>
          <w:sz w:val="20"/>
        </w:rPr>
        <w:t xml:space="preserve">To: </w:t>
      </w:r>
      <w:r>
        <w:rPr>
          <w:sz w:val="20"/>
        </w:rPr>
        <w:t>Head of Growth / VP Marketing</w:t>
      </w:r>
    </w:p>
    <w:p>
      <w:pPr>
        <w:spacing w:after="40"/>
      </w:pPr>
      <w:r>
        <w:rPr>
          <w:b/>
          <w:sz w:val="20"/>
        </w:rPr>
        <w:t xml:space="preserve">From: </w:t>
      </w:r>
      <w:r>
        <w:rPr>
          <w:sz w:val="20"/>
        </w:rPr>
        <w:t>[Your Name], Revenue &amp; Retention Analysis</w:t>
      </w:r>
    </w:p>
    <w:p>
      <w:pPr>
        <w:spacing w:after="40"/>
      </w:pPr>
      <w:r>
        <w:rPr>
          <w:b/>
          <w:sz w:val="20"/>
        </w:rPr>
        <w:t xml:space="preserve">Date: </w:t>
      </w:r>
      <w:r>
        <w:rPr>
          <w:sz w:val="20"/>
        </w:rPr>
        <w:t>July 26, 2026</w:t>
      </w:r>
    </w:p>
    <w:p>
      <w:pPr>
        <w:spacing w:after="40"/>
      </w:pPr>
      <w:r>
        <w:rPr>
          <w:b/>
          <w:sz w:val="20"/>
        </w:rPr>
        <w:t xml:space="preserve">Re: </w:t>
      </w:r>
      <w:r>
        <w:rPr>
          <w:sz w:val="20"/>
        </w:rPr>
        <w:t>Which customer segments are worth acquiring more of, and why</w:t>
      </w:r>
    </w:p>
    <w:p>
      <w:pPr>
        <w:spacing w:after="160"/>
      </w:pPr>
      <w:r>
        <w:rPr>
          <w:color w:val="595959"/>
          <w:sz w:val="16"/>
        </w:rPr>
        <w:t>_______________________________________________________________________________________________</w:t>
      </w:r>
    </w:p>
    <w:p>
      <w:pPr>
        <w:spacing w:before="200" w:after="80"/>
      </w:pPr>
      <w:r>
        <w:rPr>
          <w:b/>
          <w:color w:val="1F3864"/>
          <w:sz w:val="24"/>
        </w:rPr>
        <w:t>Bottom line</w:t>
      </w:r>
    </w:p>
    <w:p>
      <w:pPr>
        <w:spacing w:after="120" w:line="259" w:lineRule="auto"/>
      </w:pPr>
      <w:r>
        <w:rPr>
          <w:sz w:val="21"/>
        </w:rPr>
        <w:t xml:space="preserve">We are spending acquisition budget as if every customer in a channel is equally valuable. They aren't. Retention and revenue retention vary more by </w:t>
      </w:r>
      <w:r>
        <w:rPr>
          <w:b/>
          <w:sz w:val="21"/>
        </w:rPr>
        <w:t>channel x company-size combination</w:t>
      </w:r>
      <w:r>
        <w:rPr>
          <w:sz w:val="21"/>
        </w:rPr>
        <w:t xml:space="preserve"> than by channel alone, and the gap is large enough to reallocate budget on. Three moves: </w:t>
      </w:r>
      <w:r>
        <w:rPr>
          <w:b/>
          <w:sz w:val="21"/>
        </w:rPr>
        <w:t>double down</w:t>
      </w:r>
      <w:r>
        <w:rPr>
          <w:sz w:val="21"/>
        </w:rPr>
        <w:t xml:space="preserve"> on Referral/Partner into mid-market and enterprise, </w:t>
      </w:r>
      <w:r>
        <w:rPr>
          <w:b/>
          <w:sz w:val="21"/>
        </w:rPr>
        <w:t>protect</w:t>
      </w:r>
      <w:r>
        <w:rPr>
          <w:sz w:val="21"/>
        </w:rPr>
        <w:t xml:space="preserve"> Outbound Sales + Enterprise as the current revenue engine, and </w:t>
      </w:r>
      <w:r>
        <w:rPr>
          <w:b/>
          <w:sz w:val="21"/>
        </w:rPr>
        <w:t>stop scaling</w:t>
      </w:r>
      <w:r>
        <w:rPr>
          <w:sz w:val="21"/>
        </w:rPr>
        <w:t xml:space="preserve"> Paid Search into SMB.</w:t>
      </w:r>
    </w:p>
    <w:p>
      <w:pPr>
        <w:spacing w:before="200" w:after="80"/>
      </w:pPr>
      <w:r>
        <w:rPr>
          <w:b/>
          <w:color w:val="1F3864"/>
          <w:sz w:val="24"/>
        </w:rPr>
        <w:t>What the data shows</w:t>
      </w:r>
    </w:p>
    <w:p>
      <w:pPr>
        <w:spacing w:after="120" w:line="259" w:lineRule="auto"/>
      </w:pPr>
      <w:r>
        <w:rPr>
          <w:sz w:val="21"/>
        </w:rPr>
        <w:t xml:space="preserve">Trailing-12-month blended retention is respectable but not exceptional: </w:t>
      </w:r>
      <w:r>
        <w:rPr>
          <w:b/>
          <w:sz w:val="21"/>
        </w:rPr>
        <w:t>98.6% GRR, 101.1% NRR</w:t>
      </w:r>
      <w:r>
        <w:rPr>
          <w:sz w:val="21"/>
        </w:rPr>
        <w:t xml:space="preserve">. That blended number hides a wide spread. Twelve-month logo retention by channel x segment ranges from </w:t>
      </w:r>
      <w:r>
        <w:rPr>
          <w:b/>
          <w:sz w:val="21"/>
        </w:rPr>
        <w:t>88.6%</w:t>
      </w:r>
      <w:r>
        <w:rPr>
          <w:sz w:val="21"/>
        </w:rPr>
        <w:t xml:space="preserve"> (Referral + Enterprise) down to </w:t>
      </w:r>
      <w:r>
        <w:rPr>
          <w:b/>
          <w:sz w:val="21"/>
        </w:rPr>
        <w:t>28.4%</w:t>
      </w:r>
      <w:r>
        <w:rPr>
          <w:sz w:val="21"/>
        </w:rPr>
        <w:t xml:space="preserve"> (Paid Search + SMB) -- a 3x gap. Revenue retention tells the same story from a different angle: among cohorts old enough to observe, revenue retention actually climbs above 100% by month 24, meaning the accounts that survive expand faster than they contract or churn. The problem isn't expansion -- it's which accounts survive long enough to expand.</w:t>
      </w:r>
    </w:p>
    <w:p>
      <w:pPr>
        <w:spacing w:after="80" w:line="259" w:lineRule="auto"/>
      </w:pPr>
      <w:r>
        <w:rPr>
          <w:sz w:val="21"/>
        </w:rPr>
        <w:t>Three findings drive the recommendation:</w:t>
      </w:r>
    </w:p>
    <w:p>
      <w:pPr>
        <w:spacing w:after="120" w:line="259" w:lineRule="auto"/>
      </w:pPr>
      <w:r>
        <w:rPr>
          <w:sz w:val="21"/>
        </w:rPr>
      </w:r>
      <w:r>
        <w:rPr>
          <w:b/>
          <w:sz w:val="21"/>
        </w:rPr>
        <w:t>1. Paid Search + SMB is the leak, not Paid Search itself.</w:t>
      </w:r>
      <w:r>
        <w:rPr>
          <w:sz w:val="21"/>
        </w:rPr>
        <w:t xml:space="preserve"> Paid Search is our second-largest source of new logos (24% of signups) but the SMB slice of it retains at 28.4% and currently carries only ~$7K of MRR -- statistical noise relative to the channel's spend. Paid Search + Enterprise, by contrast, retains at 62.5%. The channel isn't broken; the targeting is. Volume-based success metrics for Paid Search are rewarding the wrong outcome.</w:t>
      </w:r>
    </w:p>
    <w:p>
      <w:pPr>
        <w:spacing w:after="120" w:line="259" w:lineRule="auto"/>
      </w:pPr>
      <w:r>
        <w:rPr>
          <w:sz w:val="21"/>
        </w:rPr>
      </w:r>
      <w:r>
        <w:rPr>
          <w:b/>
          <w:sz w:val="21"/>
        </w:rPr>
        <w:t>2. Referral and Partner are under-scaled relative to their quality.</w:t>
      </w:r>
      <w:r>
        <w:rPr>
          <w:sz w:val="21"/>
        </w:rPr>
        <w:t xml:space="preserve"> Referral + Enterprise (88.6%) and Partner + Enterprise (87.6%) are our two highest-retention combinations, and Referral + Mid-Market (83.3%) isn't far behind -- but together these three combinations represent only ~230 active customers versus 174 for Outbound + Enterprise alone. These channels have proven they convert well and stick; they're currently capacity-constrained, not demand-constrained.</w:t>
      </w:r>
    </w:p>
    <w:p>
      <w:pPr>
        <w:spacing w:after="120" w:line="259" w:lineRule="auto"/>
      </w:pPr>
      <w:r>
        <w:rPr>
          <w:sz w:val="21"/>
        </w:rPr>
      </w:r>
      <w:r>
        <w:rPr>
          <w:b/>
          <w:sz w:val="21"/>
        </w:rPr>
        <w:t>3. Outbound Sales + Enterprise is the business, today.</w:t>
      </w:r>
      <w:r>
        <w:rPr>
          <w:sz w:val="21"/>
        </w:rPr>
        <w:t xml:space="preserve"> It's ~32% of current MRR ($420K of $1.32M) at 82.1% twelve-month retention -- the single largest and one of the healthiest combinations we have. This is not a segment to redirect budget away from; it's the one to keep resourcing while we build up the other two.</w:t>
      </w:r>
    </w:p>
    <w:p>
      <w:pPr>
        <w:spacing w:before="200" w:after="80"/>
      </w:pPr>
      <w:r>
        <w:rPr>
          <w:b/>
          <w:color w:val="1F3864"/>
          <w:sz w:val="24"/>
        </w:rPr>
        <w:t>Recommendation</w:t>
      </w:r>
    </w:p>
    <w:p>
      <w:pPr>
        <w:pStyle w:val="ListBullet"/>
        <w:spacing w:after="80"/>
      </w:pPr>
      <w:r>
        <w:rPr>
          <w:sz w:val="21"/>
        </w:rPr>
      </w:r>
      <w:r>
        <w:rPr>
          <w:b/>
          <w:sz w:val="21"/>
        </w:rPr>
        <w:t>Increase</w:t>
      </w:r>
      <w:r>
        <w:rPr>
          <w:sz w:val="21"/>
        </w:rPr>
        <w:t xml:space="preserve"> Referral incentive/partner-program investment specifically targeted at mid-market and enterprise-fit accounts -- proven retention, room to scale.</w:t>
      </w:r>
    </w:p>
    <w:p>
      <w:pPr>
        <w:pStyle w:val="ListBullet"/>
        <w:spacing w:after="80"/>
      </w:pPr>
      <w:r>
        <w:rPr>
          <w:sz w:val="21"/>
        </w:rPr>
      </w:r>
      <w:r>
        <w:rPr>
          <w:b/>
          <w:sz w:val="21"/>
        </w:rPr>
        <w:t>Maintain</w:t>
      </w:r>
      <w:r>
        <w:rPr>
          <w:sz w:val="21"/>
        </w:rPr>
        <w:t xml:space="preserve"> Outbound Sales investment into Enterprise; it's carrying the book. Flag for a CAC-payback review given it's the most expensive motion (see boundary note below).</w:t>
      </w:r>
    </w:p>
    <w:p>
      <w:pPr>
        <w:pStyle w:val="ListBullet"/>
        <w:spacing w:after="80"/>
      </w:pPr>
      <w:r>
        <w:rPr>
          <w:sz w:val="21"/>
        </w:rPr>
      </w:r>
      <w:r>
        <w:rPr>
          <w:b/>
          <w:sz w:val="21"/>
        </w:rPr>
        <w:t>Re-scope, don't kill, Paid Search.</w:t>
      </w:r>
      <w:r>
        <w:rPr>
          <w:sz w:val="21"/>
        </w:rPr>
        <w:t xml:space="preserve"> Redirect spend toward higher-intent/upmarket keywords and landing pages, or explicitly treat it as a top-of-funnel/brand channel rather than an efficient direct-response channel. Report Paid Search performance by segment-qualified logos, not raw signups.</w:t>
      </w:r>
    </w:p>
    <w:p>
      <w:pPr>
        <w:spacing w:before="200" w:after="80"/>
      </w:pPr>
      <w:r>
        <w:rPr>
          <w:b/>
          <w:color w:val="1F3864"/>
          <w:sz w:val="24"/>
        </w:rPr>
        <w:t>Where this memo stops</w:t>
      </w:r>
    </w:p>
    <w:p>
      <w:pPr>
        <w:spacing w:after="120" w:line="259" w:lineRule="auto"/>
      </w:pPr>
      <w:r>
        <w:rPr>
          <w:sz w:val="21"/>
        </w:rPr>
        <w:t>This is a retention-and-revenue read, not a unit-economics one. Reallocating budget with confidence needs CAC and payback-period by the same channel x segment cuts used here -- that data sits with Finance/RevOps, not in this analysis. The recommendation above is directional and should be sized against CAC before any budget actually moves.</w:t>
      </w:r>
    </w:p>
    <w:p>
      <w:pPr>
        <w:spacing w:before="200"/>
      </w:pPr>
      <w:r>
        <w:rPr>
          <w:i/>
          <w:color w:val="595959"/>
          <w:sz w:val="18"/>
        </w:rPr>
        <w:t>Full detail: cohort tables, retention curves, and the NRR/GRR bridge are in the companion workbook (SaaS_Retention_Analysis.xlsx) and the live Power BI report.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