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873"/>
        <w:gridCol w:w="4873"/>
      </w:tblGrid>
      <w:tr>
        <w:tc>
          <w:tcPr>
            <w:tcW w:type="dxa" w:w="4873"/>
          </w:tcPr>
          <w:p>
            <w:pPr>
              <w:jc w:val="left"/>
            </w:pPr>
            <w:r>
              <w:rPr>
                <w:rFonts w:ascii="Calibri" w:hAnsi="Calibri"/>
                <w:b/>
                <w:color w:val="0B1F3A"/>
                <w:sz w:val="44"/>
              </w:rPr>
              <w:t>SELA</w:t>
            </w:r>
            <w:r>
              <w:rPr>
                <w:color w:val="7A8694"/>
                <w:sz w:val="16"/>
              </w:rPr>
              <w:br/>
              <w:t>Client / Consultant</w:t>
            </w:r>
          </w:p>
        </w:tc>
        <w:tc>
          <w:tcPr>
            <w:tcW w:type="dxa" w:w="4873"/>
          </w:tcPr>
          <w:p>
            <w:pPr>
              <w:jc w:val="right"/>
            </w:pPr>
            <w:r>
              <w:rPr>
                <w:rFonts w:ascii="Calibri" w:hAnsi="Calibri"/>
                <w:b/>
                <w:color w:val="1C4E80"/>
                <w:sz w:val="44"/>
              </w:rPr>
              <w:t>SKYLANCE</w:t>
            </w:r>
            <w:r>
              <w:rPr>
                <w:color w:val="7A8694"/>
                <w:sz w:val="16"/>
              </w:rPr>
              <w:br/>
              <w:t>Marine Infrastructure Contractor</w:t>
            </w:r>
          </w:p>
        </w:tc>
      </w:tr>
    </w:tbl>
    <w:p>
      <w:pPr>
        <w:spacing w:before="120"/>
        <w:pBdr>
          <w:bottom w:val="single" w:sz="20" w:space="2" w:color="0E7690"/>
        </w:pBdr>
      </w:pPr>
    </w:p>
    <w:p>
      <w:pPr>
        <w:spacing w:after="200" w:before="0"/>
      </w:pPr>
    </w:p>
    <w:p>
      <w:pPr>
        <w:spacing w:after="200" w:before="0"/>
      </w:pPr>
    </w:p>
    <w:p>
      <w:pPr>
        <w:spacing w:after="200" w:before="0"/>
      </w:pPr>
    </w:p>
    <w:p>
      <w:pPr>
        <w:spacing w:after="200" w:before="0"/>
      </w:pPr>
    </w:p>
    <w:p>
      <w:pPr>
        <w:spacing w:after="200" w:before="0"/>
      </w:pPr>
    </w:p>
    <w:p>
      <w:pPr>
        <w:spacing w:after="80"/>
        <w:jc w:val="center"/>
      </w:pPr>
      <w:r>
        <w:rPr>
          <w:rFonts w:ascii="Calibri" w:hAnsi="Calibri"/>
          <w:b/>
          <w:color w:val="0E7690"/>
          <w:sz w:val="24"/>
        </w:rPr>
        <w:t>JEDDAH YACHT CLUB &amp; MARINA  (JYC)</w:t>
      </w:r>
    </w:p>
    <w:p>
      <w:pPr>
        <w:spacing w:after="480"/>
        <w:jc w:val="center"/>
      </w:pPr>
      <w:r>
        <w:rPr>
          <w:rFonts w:ascii="Calibri" w:hAnsi="Calibri"/>
          <w:color w:val="444A52"/>
          <w:sz w:val="26"/>
        </w:rPr>
        <w:t>Marina Infrastructure Maintenance and Rehabilitation Works</w:t>
      </w:r>
    </w:p>
    <w:p>
      <w:pPr>
        <w:spacing w:after="120"/>
        <w:jc w:val="center"/>
      </w:pPr>
      <w:r>
        <w:rPr>
          <w:rFonts w:ascii="Calibri" w:hAnsi="Calibri"/>
          <w:b/>
          <w:color w:val="0B1F3A"/>
          <w:sz w:val="68"/>
        </w:rPr>
        <w:t>TECHNICAL SUBMITTAL</w:t>
      </w:r>
    </w:p>
    <w:p>
      <w:pPr>
        <w:jc w:val="center"/>
      </w:pPr>
      <w:r>
        <w:rPr>
          <w:i/>
          <w:color w:val="7A8694"/>
          <w:sz w:val="21"/>
        </w:rPr>
        <w:t>Inspection · Repair · Refurbishment · Replacement · Protective Maintenance</w:t>
      </w:r>
    </w:p>
    <w:p>
      <w:pPr>
        <w:spacing w:after="200" w:before="0"/>
      </w:pPr>
    </w:p>
    <w:p>
      <w:pPr>
        <w:spacing w:after="200" w:before="0"/>
      </w:pPr>
    </w:p>
    <w:p>
      <w:pPr>
        <w:spacing w:after="200" w:before="0"/>
      </w:pPr>
    </w:p>
    <w:p>
      <w:pPr>
        <w:spacing w:after="200" w:before="0"/>
      </w:pPr>
    </w:p>
    <w:p>
      <w:pPr>
        <w:spacing w:after="200" w:before="0"/>
      </w:pPr>
    </w:p>
    <w:p>
      <w:pPr>
        <w:spacing w:after="200" w:before="0"/>
      </w:pPr>
    </w:p>
    <w:tbl>
      <w:tblPr>
        <w:tblW w:type="auto" w:w="0"/>
        <w:jc w:val="center"/>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4873"/>
        <w:gridCol w:w="4873"/>
      </w:tblGrid>
      <w:tr>
        <w:tc>
          <w:tcPr>
            <w:tcW w:type="dxa" w:w="2268"/>
            <w:shd w:val="clear" w:color="auto" w:fill="0B1F3A"/>
            <w:tcMar>
              <w:top w:w="60" w:type="dxa"/>
              <w:bottom w:w="60" w:type="dxa"/>
              <w:start w:w="110" w:type="dxa"/>
              <w:end w:w="110" w:type="dxa"/>
            </w:tcMar>
            <w:vAlign w:val="center"/>
          </w:tcPr>
          <w:p>
            <w:pPr>
              <w:spacing w:after="40" w:before="40"/>
              <w:jc w:val="left"/>
            </w:pPr>
            <w:r>
              <w:rPr>
                <w:rFonts w:ascii="Calibri" w:hAnsi="Calibri"/>
                <w:b/>
                <w:color w:val="FFFFFF"/>
                <w:sz w:val="19"/>
              </w:rPr>
              <w:t>Project</w:t>
            </w:r>
          </w:p>
        </w:tc>
        <w:tc>
          <w:tcPr>
            <w:tcW w:type="dxa" w:w="6520"/>
            <w:tcMar>
              <w:top w:w="60" w:type="dxa"/>
              <w:bottom w:w="60" w:type="dxa"/>
              <w:start w:w="110" w:type="dxa"/>
              <w:end w:w="110" w:type="dxa"/>
            </w:tcMar>
            <w:vAlign w:val="center"/>
          </w:tcPr>
          <w:p>
            <w:pPr>
              <w:spacing w:after="40" w:before="40"/>
              <w:jc w:val="left"/>
            </w:pPr>
            <w:r>
              <w:rPr>
                <w:rFonts w:ascii="Calibri" w:hAnsi="Calibri"/>
                <w:b w:val="0"/>
                <w:color w:val="444A52"/>
                <w:sz w:val="19"/>
              </w:rPr>
              <w:t>Marina Infrastructure Maintenance &amp; Rehabilitation Works</w:t>
            </w:r>
          </w:p>
        </w:tc>
      </w:tr>
      <w:tr>
        <w:tc>
          <w:tcPr>
            <w:tcW w:type="dxa" w:w="2268"/>
            <w:shd w:val="clear" w:color="auto" w:fill="0B1F3A"/>
            <w:tcMar>
              <w:top w:w="60" w:type="dxa"/>
              <w:bottom w:w="60" w:type="dxa"/>
              <w:start w:w="110" w:type="dxa"/>
              <w:end w:w="110" w:type="dxa"/>
            </w:tcMar>
            <w:vAlign w:val="center"/>
          </w:tcPr>
          <w:p>
            <w:pPr>
              <w:spacing w:after="40" w:before="40"/>
              <w:jc w:val="left"/>
            </w:pPr>
            <w:r>
              <w:rPr>
                <w:rFonts w:ascii="Calibri" w:hAnsi="Calibri"/>
                <w:b/>
                <w:color w:val="FFFFFF"/>
                <w:sz w:val="19"/>
              </w:rPr>
              <w:t>Client</w:t>
            </w:r>
          </w:p>
        </w:tc>
        <w:tc>
          <w:tcPr>
            <w:tcW w:type="dxa" w:w="6520"/>
            <w:tcMar>
              <w:top w:w="60" w:type="dxa"/>
              <w:bottom w:w="60" w:type="dxa"/>
              <w:start w:w="110" w:type="dxa"/>
              <w:end w:w="110" w:type="dxa"/>
            </w:tcMar>
            <w:shd w:val="clear" w:color="auto" w:fill="F2F6FA"/>
            <w:vAlign w:val="center"/>
          </w:tcPr>
          <w:p>
            <w:pPr>
              <w:spacing w:after="40" w:before="40"/>
              <w:jc w:val="left"/>
            </w:pPr>
            <w:r>
              <w:rPr>
                <w:rFonts w:ascii="Calibri" w:hAnsi="Calibri"/>
                <w:b w:val="0"/>
                <w:color w:val="444A52"/>
                <w:sz w:val="19"/>
              </w:rPr>
              <w:t>Jeddah Yacht Club &amp; Marina (JYC) / SELA</w:t>
            </w:r>
          </w:p>
        </w:tc>
      </w:tr>
      <w:tr>
        <w:tc>
          <w:tcPr>
            <w:tcW w:type="dxa" w:w="2268"/>
            <w:shd w:val="clear" w:color="auto" w:fill="0B1F3A"/>
            <w:tcMar>
              <w:top w:w="60" w:type="dxa"/>
              <w:bottom w:w="60" w:type="dxa"/>
              <w:start w:w="110" w:type="dxa"/>
              <w:end w:w="110" w:type="dxa"/>
            </w:tcMar>
            <w:vAlign w:val="center"/>
          </w:tcPr>
          <w:p>
            <w:pPr>
              <w:spacing w:after="40" w:before="40"/>
              <w:jc w:val="left"/>
            </w:pPr>
            <w:r>
              <w:rPr>
                <w:rFonts w:ascii="Calibri" w:hAnsi="Calibri"/>
                <w:b/>
                <w:color w:val="FFFFFF"/>
                <w:sz w:val="19"/>
              </w:rPr>
              <w:t>Contractor</w:t>
            </w:r>
          </w:p>
        </w:tc>
        <w:tc>
          <w:tcPr>
            <w:tcW w:type="dxa" w:w="6520"/>
            <w:tcMar>
              <w:top w:w="60" w:type="dxa"/>
              <w:bottom w:w="60" w:type="dxa"/>
              <w:start w:w="110" w:type="dxa"/>
              <w:end w:w="110" w:type="dxa"/>
            </w:tcMar>
            <w:vAlign w:val="center"/>
          </w:tcPr>
          <w:p>
            <w:pPr>
              <w:spacing w:after="40" w:before="40"/>
              <w:jc w:val="left"/>
            </w:pPr>
            <w:r>
              <w:rPr>
                <w:rFonts w:ascii="Calibri" w:hAnsi="Calibri"/>
                <w:b w:val="0"/>
                <w:color w:val="444A52"/>
                <w:sz w:val="19"/>
              </w:rPr>
              <w:t>Skylance</w:t>
            </w:r>
          </w:p>
        </w:tc>
      </w:tr>
      <w:tr>
        <w:tc>
          <w:tcPr>
            <w:tcW w:type="dxa" w:w="2268"/>
            <w:shd w:val="clear" w:color="auto" w:fill="0B1F3A"/>
            <w:tcMar>
              <w:top w:w="60" w:type="dxa"/>
              <w:bottom w:w="60" w:type="dxa"/>
              <w:start w:w="110" w:type="dxa"/>
              <w:end w:w="110" w:type="dxa"/>
            </w:tcMar>
            <w:vAlign w:val="center"/>
          </w:tcPr>
          <w:p>
            <w:pPr>
              <w:spacing w:after="40" w:before="40"/>
              <w:jc w:val="left"/>
            </w:pPr>
            <w:r>
              <w:rPr>
                <w:rFonts w:ascii="Calibri" w:hAnsi="Calibri"/>
                <w:b/>
                <w:color w:val="FFFFFF"/>
                <w:sz w:val="19"/>
              </w:rPr>
              <w:t>Document</w:t>
            </w:r>
          </w:p>
        </w:tc>
        <w:tc>
          <w:tcPr>
            <w:tcW w:type="dxa" w:w="6520"/>
            <w:tcMar>
              <w:top w:w="60" w:type="dxa"/>
              <w:bottom w:w="60" w:type="dxa"/>
              <w:start w:w="110" w:type="dxa"/>
              <w:end w:w="110" w:type="dxa"/>
            </w:tcMar>
            <w:shd w:val="clear" w:color="auto" w:fill="F2F6FA"/>
            <w:vAlign w:val="center"/>
          </w:tcPr>
          <w:p>
            <w:pPr>
              <w:spacing w:after="40" w:before="40"/>
              <w:jc w:val="left"/>
            </w:pPr>
            <w:r>
              <w:rPr>
                <w:rFonts w:ascii="Calibri" w:hAnsi="Calibri"/>
                <w:b w:val="0"/>
                <w:color w:val="444A52"/>
                <w:sz w:val="19"/>
              </w:rPr>
              <w:t>Technical Submittal</w:t>
            </w:r>
          </w:p>
        </w:tc>
      </w:tr>
      <w:tr>
        <w:tc>
          <w:tcPr>
            <w:tcW w:type="dxa" w:w="2268"/>
            <w:shd w:val="clear" w:color="auto" w:fill="0B1F3A"/>
            <w:tcMar>
              <w:top w:w="60" w:type="dxa"/>
              <w:bottom w:w="60" w:type="dxa"/>
              <w:start w:w="110" w:type="dxa"/>
              <w:end w:w="110" w:type="dxa"/>
            </w:tcMar>
            <w:vAlign w:val="center"/>
          </w:tcPr>
          <w:p>
            <w:pPr>
              <w:spacing w:after="40" w:before="40"/>
              <w:jc w:val="left"/>
            </w:pPr>
            <w:r>
              <w:rPr>
                <w:rFonts w:ascii="Calibri" w:hAnsi="Calibri"/>
                <w:b/>
                <w:color w:val="FFFFFF"/>
                <w:sz w:val="19"/>
              </w:rPr>
              <w:t>Document Ref.</w:t>
            </w:r>
          </w:p>
        </w:tc>
        <w:tc>
          <w:tcPr>
            <w:tcW w:type="dxa" w:w="6520"/>
            <w:tcMar>
              <w:top w:w="60" w:type="dxa"/>
              <w:bottom w:w="60" w:type="dxa"/>
              <w:start w:w="110" w:type="dxa"/>
              <w:end w:w="110" w:type="dxa"/>
            </w:tcMar>
            <w:vAlign w:val="center"/>
          </w:tcPr>
          <w:p>
            <w:pPr>
              <w:spacing w:after="40" w:before="40"/>
              <w:jc w:val="left"/>
            </w:pPr>
            <w:r>
              <w:rPr>
                <w:rFonts w:ascii="Calibri" w:hAnsi="Calibri"/>
                <w:b w:val="0"/>
                <w:color w:val="444A52"/>
                <w:sz w:val="19"/>
              </w:rPr>
              <w:t>SKL-JYC-TS-001  ·  Rev. 0</w:t>
            </w:r>
          </w:p>
        </w:tc>
      </w:tr>
      <w:tr>
        <w:tc>
          <w:tcPr>
            <w:tcW w:type="dxa" w:w="2268"/>
            <w:shd w:val="clear" w:color="auto" w:fill="0B1F3A"/>
            <w:tcMar>
              <w:top w:w="60" w:type="dxa"/>
              <w:bottom w:w="60" w:type="dxa"/>
              <w:start w:w="110" w:type="dxa"/>
              <w:end w:w="110" w:type="dxa"/>
            </w:tcMar>
            <w:vAlign w:val="center"/>
          </w:tcPr>
          <w:p>
            <w:pPr>
              <w:spacing w:after="40" w:before="40"/>
              <w:jc w:val="left"/>
            </w:pPr>
            <w:r>
              <w:rPr>
                <w:rFonts w:ascii="Calibri" w:hAnsi="Calibri"/>
                <w:b/>
                <w:color w:val="FFFFFF"/>
                <w:sz w:val="19"/>
              </w:rPr>
              <w:t>Date</w:t>
            </w:r>
          </w:p>
        </w:tc>
        <w:tc>
          <w:tcPr>
            <w:tcW w:type="dxa" w:w="6520"/>
            <w:tcMar>
              <w:top w:w="60" w:type="dxa"/>
              <w:bottom w:w="60" w:type="dxa"/>
              <w:start w:w="110" w:type="dxa"/>
              <w:end w:w="110" w:type="dxa"/>
            </w:tcMar>
            <w:shd w:val="clear" w:color="auto" w:fill="F2F6FA"/>
            <w:vAlign w:val="center"/>
          </w:tcPr>
          <w:p>
            <w:pPr>
              <w:spacing w:after="40" w:before="40"/>
              <w:jc w:val="left"/>
            </w:pPr>
            <w:r>
              <w:rPr>
                <w:rFonts w:ascii="Calibri" w:hAnsi="Calibri"/>
                <w:b w:val="0"/>
                <w:color w:val="444A52"/>
                <w:sz w:val="19"/>
              </w:rPr>
              <w:t>June 2026</w:t>
            </w:r>
          </w:p>
        </w:tc>
      </w:tr>
    </w:tbl>
    <w:p>
      <w:pPr>
        <w:sectPr>
          <w:pgSz w:w="12240" w:h="15840"/>
          <w:pgMar w:top="1247" w:right="1247" w:bottom="1134" w:left="1247" w:header="624" w:footer="624" w:gutter="0"/>
          <w:cols w:space="720"/>
          <w:titlePg/>
          <w:docGrid w:linePitch="360"/>
        </w:sectPr>
      </w:pPr>
    </w:p>
    <w:p>
      <w:pPr>
        <w:keepNext/>
        <w:spacing w:before="320" w:after="120"/>
        <w:pBdr>
          <w:bottom w:val="single" w:sz="12" w:space="4" w:color="1C4E80"/>
        </w:pBdr>
      </w:pPr>
      <w:r>
        <w:rPr>
          <w:rFonts w:ascii="Calibri" w:hAnsi="Calibri"/>
          <w:b/>
          <w:color w:val="0E7690"/>
          <w:sz w:val="28"/>
        </w:rPr>
        <w:t xml:space="preserve">1.  </w:t>
      </w:r>
      <w:r>
        <w:rPr>
          <w:rFonts w:ascii="Calibri" w:hAnsi="Calibri"/>
          <w:b/>
          <w:color w:val="0B1F3A"/>
          <w:sz w:val="27"/>
        </w:rPr>
        <w:t>INTRODUCTION</w:t>
      </w:r>
    </w:p>
    <w:p>
      <w:r>
        <w:rPr>
          <w:color w:val="444A52"/>
          <w:sz w:val="21"/>
        </w:rPr>
        <w:t>This document has been developed to describe the technical details of the Jeddah Yacht Club &amp; Marina (JYC) Marina Infrastructure Maintenance and Rehabilitation Works, covering the inspection, repair, refurbishment, replacement and protective maintenance of marina floating assets, gangways, wave breaker structures, quay wall surfaces, navigation poles and associated marine assets.</w:t>
      </w:r>
    </w:p>
    <w:p>
      <w:r>
        <w:rPr>
          <w:color w:val="444A52"/>
          <w:sz w:val="21"/>
        </w:rPr>
        <w:t>Jeddah Yacht Club &amp; Marina (JYC) has invited qualified marine infrastructure contractors to undertake these works. Skylance presents this Technical Submittal in response, setting out the structure-wise scope of work, methods and material standards to be applied across the marina in accordance with applicable Saudi Arabian regulations and recognised marine industry standards.</w:t>
      </w:r>
    </w:p>
    <w:p>
      <w:pPr>
        <w:keepNext/>
        <w:spacing w:before="320" w:after="120"/>
        <w:pBdr>
          <w:bottom w:val="single" w:sz="12" w:space="4" w:color="1C4E80"/>
        </w:pBdr>
      </w:pPr>
      <w:r>
        <w:rPr>
          <w:rFonts w:ascii="Calibri" w:hAnsi="Calibri"/>
          <w:b/>
          <w:color w:val="0E7690"/>
          <w:sz w:val="28"/>
        </w:rPr>
        <w:t xml:space="preserve">2.  </w:t>
      </w:r>
      <w:r>
        <w:rPr>
          <w:rFonts w:ascii="Calibri" w:hAnsi="Calibri"/>
          <w:b/>
          <w:color w:val="0B1F3A"/>
          <w:sz w:val="27"/>
        </w:rPr>
        <w:t>OBJECTIVE</w:t>
      </w:r>
    </w:p>
    <w:p>
      <w:r>
        <w:rPr>
          <w:color w:val="444A52"/>
          <w:sz w:val="21"/>
        </w:rPr>
        <w:t>The objective of this scope of work is to restore structural integrity, improve operational safety, prevent further corrosion and extend the service life of marina assets through comprehensive maintenance works.</w:t>
      </w:r>
    </w:p>
    <w:p>
      <w:pPr>
        <w:spacing w:before="80" w:after="40"/>
      </w:pPr>
      <w:r>
        <w:rPr>
          <w:b/>
          <w:color w:val="0B1F3A"/>
          <w:sz w:val="20"/>
        </w:rPr>
        <w:t>In delivering the works, the Contractor shall:</w:t>
      </w:r>
    </w:p>
    <w:p>
      <w:pPr>
        <w:pStyle w:val="ListBullet"/>
        <w:spacing w:after="60" w:line="264" w:lineRule="auto"/>
        <w:ind w:left="454"/>
      </w:pPr>
      <w:r>
        <w:rPr>
          <w:color w:val="444A52"/>
          <w:sz w:val="21"/>
        </w:rPr>
        <w:t>Conduct a detailed site survey and verification of quantities prior to commencement.</w:t>
      </w:r>
    </w:p>
    <w:p>
      <w:pPr>
        <w:pStyle w:val="ListBullet"/>
        <w:spacing w:after="60" w:line="264" w:lineRule="auto"/>
        <w:ind w:left="454"/>
      </w:pPr>
      <w:r>
        <w:rPr>
          <w:color w:val="444A52"/>
          <w:sz w:val="21"/>
        </w:rPr>
        <w:t>Supply all labour, supervision, tools, equipment, materials, consumables and marine access equipment required.</w:t>
      </w:r>
    </w:p>
    <w:p>
      <w:pPr>
        <w:pStyle w:val="ListBullet"/>
        <w:spacing w:after="60" w:line="264" w:lineRule="auto"/>
        <w:ind w:left="454"/>
      </w:pPr>
      <w:r>
        <w:rPr>
          <w:color w:val="444A52"/>
          <w:sz w:val="21"/>
        </w:rPr>
        <w:t>Dispose of waste materials in accordance with local environmental regulations.</w:t>
      </w:r>
    </w:p>
    <w:p>
      <w:pPr>
        <w:pStyle w:val="ListBullet"/>
        <w:spacing w:after="60" w:line="264" w:lineRule="auto"/>
        <w:ind w:left="454"/>
      </w:pPr>
      <w:r>
        <w:rPr>
          <w:color w:val="444A52"/>
          <w:sz w:val="21"/>
        </w:rPr>
        <w:t>Maintain uninterrupted marina operations where reasonably practicable.</w:t>
      </w:r>
    </w:p>
    <w:p>
      <w:pPr>
        <w:pStyle w:val="ListBullet"/>
        <w:spacing w:after="60" w:line="264" w:lineRule="auto"/>
        <w:ind w:left="454"/>
      </w:pPr>
      <w:r>
        <w:rPr>
          <w:color w:val="444A52"/>
          <w:sz w:val="21"/>
        </w:rPr>
        <w:t>Comply with all applicable Saudi Arabian safety regulations and marine industry standards.</w:t>
      </w:r>
    </w:p>
    <w:p>
      <w:pPr>
        <w:pStyle w:val="ListBullet"/>
        <w:spacing w:after="60" w:line="264" w:lineRule="auto"/>
        <w:ind w:left="454"/>
      </w:pPr>
      <w:r>
        <w:rPr>
          <w:color w:val="444A52"/>
          <w:sz w:val="21"/>
        </w:rPr>
        <w:t>Submit method statements, risk assessments, work schedules and quality control procedures before mobilization.</w:t>
      </w:r>
    </w:p>
    <w:p>
      <w:pPr>
        <w:pStyle w:val="ListBullet"/>
        <w:spacing w:after="60" w:line="264" w:lineRule="auto"/>
        <w:ind w:left="454"/>
      </w:pPr>
      <w:r>
        <w:rPr>
          <w:color w:val="444A52"/>
          <w:sz w:val="21"/>
        </w:rPr>
        <w:t>Offer warranty on all works completed.</w:t>
      </w:r>
    </w:p>
    <w:p>
      <w:pPr>
        <w:keepNext/>
        <w:spacing w:before="320" w:after="120"/>
        <w:pBdr>
          <w:bottom w:val="single" w:sz="12" w:space="4" w:color="1C4E80"/>
        </w:pBdr>
      </w:pPr>
      <w:r>
        <w:rPr>
          <w:rFonts w:ascii="Calibri" w:hAnsi="Calibri"/>
          <w:b/>
          <w:color w:val="0E7690"/>
          <w:sz w:val="28"/>
        </w:rPr>
        <w:t xml:space="preserve">3.  </w:t>
      </w:r>
      <w:r>
        <w:rPr>
          <w:rFonts w:ascii="Calibri" w:hAnsi="Calibri"/>
          <w:b/>
          <w:color w:val="0B1F3A"/>
          <w:sz w:val="27"/>
        </w:rPr>
        <w:t>SCOPE OF WORKS</w:t>
      </w:r>
    </w:p>
    <w:p>
      <w:r>
        <w:rPr>
          <w:color w:val="444A52"/>
          <w:sz w:val="21"/>
        </w:rPr>
        <w:t>The scope of work includes the following structures and marine assets, with detailed scope prescribed structure-wise in the sections that follow:</w:t>
      </w:r>
    </w:p>
    <w:p>
      <w:pPr>
        <w:pStyle w:val="ListBullet"/>
        <w:spacing w:after="60" w:line="264" w:lineRule="auto"/>
        <w:ind w:left="454"/>
      </w:pPr>
      <w:r>
        <w:rPr>
          <w:color w:val="444A52"/>
          <w:sz w:val="21"/>
        </w:rPr>
        <w:t>Floating Docks A, B, C, D and K, and the Slipway Pontoon.</w:t>
      </w:r>
    </w:p>
    <w:p>
      <w:pPr>
        <w:pStyle w:val="ListBullet"/>
        <w:spacing w:after="60" w:line="264" w:lineRule="auto"/>
        <w:ind w:left="454"/>
      </w:pPr>
      <w:r>
        <w:rPr>
          <w:color w:val="444A52"/>
          <w:sz w:val="21"/>
        </w:rPr>
        <w:t>Main Wave Breaker structure.</w:t>
      </w:r>
    </w:p>
    <w:p>
      <w:pPr>
        <w:pStyle w:val="ListBullet"/>
        <w:spacing w:after="60" w:line="264" w:lineRule="auto"/>
        <w:ind w:left="454"/>
      </w:pPr>
      <w:r>
        <w:rPr>
          <w:color w:val="444A52"/>
          <w:sz w:val="21"/>
        </w:rPr>
        <w:t>Navigation Poles.</w:t>
      </w:r>
    </w:p>
    <w:p>
      <w:pPr>
        <w:pStyle w:val="ListBullet"/>
        <w:spacing w:after="60" w:line="264" w:lineRule="auto"/>
        <w:ind w:left="454"/>
      </w:pPr>
      <w:r>
        <w:rPr>
          <w:color w:val="444A52"/>
          <w:sz w:val="21"/>
        </w:rPr>
        <w:t>Quay Wall infrastructure.</w:t>
      </w:r>
    </w:p>
    <w:p>
      <w:pPr>
        <w:pStyle w:val="ListBullet"/>
        <w:spacing w:after="60" w:line="264" w:lineRule="auto"/>
        <w:ind w:left="454"/>
      </w:pPr>
      <w:r>
        <w:rPr>
          <w:color w:val="444A52"/>
          <w:sz w:val="21"/>
        </w:rPr>
        <w:t>Gangways serving all docks and the slipway pontoon.</w:t>
      </w:r>
    </w:p>
    <w:p>
      <w:r>
        <w:rPr>
          <w:color w:val="444A52"/>
          <w:sz w:val="21"/>
        </w:rPr>
        <w:t>The detailed, structure-wise scope of work for each of the above assets is set out in Sections 4 through 11 of this submittal.</w:t>
      </w:r>
    </w:p>
    <w:p>
      <w:pPr>
        <w:keepNext/>
        <w:spacing w:before="320" w:after="120"/>
        <w:pBdr>
          <w:bottom w:val="single" w:sz="12" w:space="4" w:color="1C4E80"/>
        </w:pBdr>
      </w:pPr>
      <w:r>
        <w:rPr>
          <w:rFonts w:ascii="Calibri" w:hAnsi="Calibri"/>
          <w:b/>
          <w:color w:val="0E7690"/>
          <w:sz w:val="28"/>
        </w:rPr>
        <w:t xml:space="preserve">4.  </w:t>
      </w:r>
      <w:r>
        <w:rPr>
          <w:rFonts w:ascii="Calibri" w:hAnsi="Calibri"/>
          <w:b/>
          <w:color w:val="0B1F3A"/>
          <w:sz w:val="27"/>
        </w:rPr>
        <w:t>GANGWAY REHABILITATION WORKS</w:t>
      </w:r>
    </w:p>
    <w:p>
      <w:pPr>
        <w:spacing w:before="40" w:after="120"/>
      </w:pPr>
      <w:r>
        <w:rPr>
          <w:b/>
          <w:i/>
          <w:color w:val="0E7690"/>
          <w:sz w:val="19"/>
        </w:rPr>
        <w:t xml:space="preserve">Applicable to:  </w:t>
      </w:r>
      <w:r>
        <w:rPr>
          <w:i/>
          <w:color w:val="444A52"/>
          <w:sz w:val="19"/>
        </w:rPr>
        <w:t>Dock A, B, C, D, K &amp; Slipway Pontoon</w:t>
      </w:r>
    </w:p>
    <w:p>
      <w:pPr>
        <w:keepNext/>
        <w:spacing w:before="200" w:after="60"/>
      </w:pPr>
      <w:r>
        <w:rPr>
          <w:b/>
          <w:color w:val="1C4E80"/>
          <w:sz w:val="22"/>
        </w:rPr>
        <w:t xml:space="preserve">4.1  </w:t>
      </w:r>
      <w:r>
        <w:rPr>
          <w:rFonts w:ascii="Calibri" w:hAnsi="Calibri"/>
          <w:b/>
          <w:color w:val="1C4E80"/>
          <w:sz w:val="22"/>
        </w:rPr>
        <w:t>Timber Works</w:t>
      </w:r>
    </w:p>
    <w:p>
      <w:pPr>
        <w:pStyle w:val="ListBullet"/>
        <w:spacing w:after="60" w:line="264" w:lineRule="auto"/>
        <w:ind w:left="454"/>
      </w:pPr>
      <w:r>
        <w:rPr>
          <w:color w:val="444A52"/>
          <w:sz w:val="21"/>
        </w:rPr>
        <w:t>Clean, prepare, sand and apply marine-grade protective coating to all gangway timber planks.</w:t>
      </w:r>
    </w:p>
    <w:p>
      <w:pPr>
        <w:pStyle w:val="ListBullet"/>
        <w:spacing w:after="60" w:line="264" w:lineRule="auto"/>
        <w:ind w:left="454"/>
      </w:pPr>
      <w:r>
        <w:rPr>
          <w:color w:val="444A52"/>
          <w:sz w:val="21"/>
        </w:rPr>
        <w:t>Replace any damaged timber sections identified during execution.</w:t>
      </w:r>
    </w:p>
    <w:p>
      <w:pPr>
        <w:keepNext/>
        <w:spacing w:before="200" w:after="60"/>
      </w:pPr>
      <w:r>
        <w:rPr>
          <w:b/>
          <w:color w:val="1C4E80"/>
          <w:sz w:val="22"/>
        </w:rPr>
        <w:t xml:space="preserve">4.2  </w:t>
      </w:r>
      <w:r>
        <w:rPr>
          <w:rFonts w:ascii="Calibri" w:hAnsi="Calibri"/>
          <w:b/>
          <w:color w:val="1C4E80"/>
          <w:sz w:val="22"/>
        </w:rPr>
        <w:t>Roller System</w:t>
      </w:r>
    </w:p>
    <w:p>
      <w:pPr>
        <w:pStyle w:val="ListBullet"/>
        <w:spacing w:after="60" w:line="264" w:lineRule="auto"/>
        <w:ind w:left="454"/>
      </w:pPr>
      <w:r>
        <w:rPr>
          <w:color w:val="444A52"/>
          <w:sz w:val="21"/>
        </w:rPr>
        <w:t>Remove and replace damaged gangway rollers.</w:t>
      </w:r>
    </w:p>
    <w:p>
      <w:pPr>
        <w:pStyle w:val="ListBullet"/>
        <w:spacing w:after="60" w:line="264" w:lineRule="auto"/>
        <w:ind w:left="454"/>
      </w:pPr>
      <w:r>
        <w:rPr>
          <w:color w:val="444A52"/>
          <w:sz w:val="21"/>
        </w:rPr>
        <w:t>Supply additional PVC rollers as operational spare stock.</w:t>
      </w:r>
    </w:p>
    <w:p>
      <w:pPr>
        <w:keepNext/>
        <w:spacing w:before="200" w:after="60"/>
      </w:pPr>
      <w:r>
        <w:rPr>
          <w:b/>
          <w:color w:val="1C4E80"/>
          <w:sz w:val="22"/>
        </w:rPr>
        <w:t xml:space="preserve">4.3  </w:t>
      </w:r>
      <w:r>
        <w:rPr>
          <w:rFonts w:ascii="Calibri" w:hAnsi="Calibri"/>
          <w:b/>
          <w:color w:val="1C4E80"/>
          <w:sz w:val="22"/>
        </w:rPr>
        <w:t>Teflon Wear Protection</w:t>
      </w:r>
    </w:p>
    <w:p>
      <w:pPr>
        <w:pStyle w:val="ListBullet"/>
        <w:spacing w:after="60" w:line="264" w:lineRule="auto"/>
        <w:ind w:left="454"/>
      </w:pPr>
      <w:r>
        <w:rPr>
          <w:color w:val="444A52"/>
          <w:sz w:val="21"/>
        </w:rPr>
        <w:t>Remove damaged gangway flip protection pads.</w:t>
      </w:r>
    </w:p>
    <w:p>
      <w:pPr>
        <w:pStyle w:val="ListBullet"/>
        <w:spacing w:after="60" w:line="264" w:lineRule="auto"/>
        <w:ind w:left="454"/>
      </w:pPr>
      <w:r>
        <w:rPr>
          <w:color w:val="444A52"/>
          <w:sz w:val="21"/>
        </w:rPr>
        <w:t>Supply and install new marine-grade Teflon wear pads.</w:t>
      </w:r>
    </w:p>
    <w:p>
      <w:pPr>
        <w:keepNext/>
        <w:spacing w:before="200" w:after="60"/>
      </w:pPr>
      <w:r>
        <w:rPr>
          <w:b/>
          <w:color w:val="1C4E80"/>
          <w:sz w:val="22"/>
        </w:rPr>
        <w:t xml:space="preserve">4.4  </w:t>
      </w:r>
      <w:r>
        <w:rPr>
          <w:rFonts w:ascii="Calibri" w:hAnsi="Calibri"/>
          <w:b/>
          <w:color w:val="1C4E80"/>
          <w:sz w:val="22"/>
        </w:rPr>
        <w:t>Structural Steel Rehabilitation</w:t>
      </w:r>
    </w:p>
    <w:p>
      <w:r>
        <w:rPr>
          <w:color w:val="444A52"/>
          <w:sz w:val="21"/>
        </w:rPr>
        <w:t>Where applicable, the Contractor shall:</w:t>
      </w:r>
    </w:p>
    <w:p>
      <w:pPr>
        <w:pStyle w:val="ListBullet"/>
        <w:spacing w:after="60" w:line="264" w:lineRule="auto"/>
        <w:ind w:left="454"/>
      </w:pPr>
      <w:r>
        <w:rPr>
          <w:color w:val="444A52"/>
          <w:sz w:val="21"/>
        </w:rPr>
        <w:t>Clean steel surfaces by mechanical preparation or approved blasting method.</w:t>
      </w:r>
    </w:p>
    <w:p>
      <w:pPr>
        <w:pStyle w:val="ListBullet"/>
        <w:spacing w:after="60" w:line="264" w:lineRule="auto"/>
        <w:ind w:left="454"/>
      </w:pPr>
      <w:r>
        <w:rPr>
          <w:color w:val="444A52"/>
          <w:sz w:val="21"/>
        </w:rPr>
        <w:t>Remove corrosion and contaminants.</w:t>
      </w:r>
    </w:p>
    <w:p>
      <w:pPr>
        <w:pStyle w:val="ListBullet"/>
        <w:spacing w:after="60" w:line="264" w:lineRule="auto"/>
        <w:ind w:left="454"/>
      </w:pPr>
      <w:r>
        <w:rPr>
          <w:color w:val="444A52"/>
          <w:sz w:val="21"/>
        </w:rPr>
        <w:t>Apply approved marine-grade anti-corrosion coating system.</w:t>
      </w:r>
    </w:p>
    <w:p>
      <w:pPr>
        <w:pStyle w:val="ListBullet"/>
        <w:spacing w:after="60" w:line="264" w:lineRule="auto"/>
        <w:ind w:left="454"/>
      </w:pPr>
      <w:r>
        <w:rPr>
          <w:color w:val="444A52"/>
          <w:sz w:val="21"/>
        </w:rPr>
        <w:t>Repaint gangway H-beam support structures.</w:t>
      </w:r>
    </w:p>
    <w:p>
      <w:pPr>
        <w:keepNext/>
        <w:spacing w:before="200" w:after="60"/>
      </w:pPr>
      <w:r>
        <w:rPr>
          <w:b/>
          <w:color w:val="1C4E80"/>
          <w:sz w:val="22"/>
        </w:rPr>
        <w:t xml:space="preserve">4.5  </w:t>
      </w:r>
      <w:r>
        <w:rPr>
          <w:rFonts w:ascii="Calibri" w:hAnsi="Calibri"/>
          <w:b/>
          <w:color w:val="1C4E80"/>
          <w:sz w:val="22"/>
        </w:rPr>
        <w:t>Anchor Bolt Replacement</w:t>
      </w:r>
    </w:p>
    <w:p>
      <w:r>
        <w:rPr>
          <w:color w:val="444A52"/>
          <w:sz w:val="21"/>
        </w:rPr>
        <w:t>Where applicable, the Contractor shall:</w:t>
      </w:r>
    </w:p>
    <w:p>
      <w:pPr>
        <w:pStyle w:val="ListBullet"/>
        <w:spacing w:after="60" w:line="264" w:lineRule="auto"/>
        <w:ind w:left="454"/>
      </w:pPr>
      <w:r>
        <w:rPr>
          <w:color w:val="444A52"/>
          <w:sz w:val="21"/>
        </w:rPr>
        <w:t>Remove corroded foundation bolts and nuts.</w:t>
      </w:r>
    </w:p>
    <w:p>
      <w:pPr>
        <w:pStyle w:val="ListBullet"/>
        <w:spacing w:after="60" w:line="264" w:lineRule="auto"/>
        <w:ind w:left="454"/>
      </w:pPr>
      <w:r>
        <w:rPr>
          <w:color w:val="444A52"/>
          <w:sz w:val="21"/>
        </w:rPr>
        <w:t>Supply and install new stainless steel or approved galvanized anchor bolts.</w:t>
      </w:r>
    </w:p>
    <w:p>
      <w:pPr>
        <w:pStyle w:val="ListBullet"/>
        <w:spacing w:after="60" w:line="264" w:lineRule="auto"/>
        <w:ind w:left="454"/>
      </w:pPr>
      <w:r>
        <w:rPr>
          <w:color w:val="444A52"/>
          <w:sz w:val="21"/>
        </w:rPr>
        <w:t>Upgrade bolt sizing where specified to improve structural stability.</w:t>
      </w:r>
    </w:p>
    <w:p>
      <w:pPr>
        <w:keepNext/>
        <w:spacing w:before="200" w:after="60"/>
      </w:pPr>
      <w:r>
        <w:rPr>
          <w:b/>
          <w:color w:val="1C4E80"/>
          <w:sz w:val="22"/>
        </w:rPr>
        <w:t xml:space="preserve">4.6  </w:t>
      </w:r>
      <w:r>
        <w:rPr>
          <w:rFonts w:ascii="Calibri" w:hAnsi="Calibri"/>
          <w:b/>
          <w:color w:val="1C4E80"/>
          <w:sz w:val="22"/>
        </w:rPr>
        <w:t>Electrical Safety Improvements</w:t>
      </w:r>
    </w:p>
    <w:p>
      <w:r>
        <w:rPr>
          <w:color w:val="444A52"/>
          <w:sz w:val="21"/>
        </w:rPr>
        <w:t>The Contractor shall:</w:t>
      </w:r>
    </w:p>
    <w:p>
      <w:pPr>
        <w:pStyle w:val="ListBullet"/>
        <w:spacing w:after="60" w:line="264" w:lineRule="auto"/>
        <w:ind w:left="454"/>
      </w:pPr>
      <w:r>
        <w:rPr>
          <w:color w:val="444A52"/>
          <w:sz w:val="21"/>
        </w:rPr>
        <w:t>Install weatherproof protection for all exposed dock gate electrical components.</w:t>
      </w:r>
    </w:p>
    <w:p>
      <w:pPr>
        <w:pStyle w:val="ListBullet"/>
        <w:spacing w:after="60" w:line="264" w:lineRule="auto"/>
        <w:ind w:left="454"/>
      </w:pPr>
      <w:r>
        <w:rPr>
          <w:color w:val="444A52"/>
          <w:sz w:val="21"/>
        </w:rPr>
        <w:t>Provide suitable enclosures, sealing systems, covers and fixing arrangements.</w:t>
      </w:r>
    </w:p>
    <w:p>
      <w:pPr>
        <w:pStyle w:val="ListBullet"/>
        <w:spacing w:after="60" w:line="264" w:lineRule="auto"/>
        <w:ind w:left="454"/>
      </w:pPr>
      <w:r>
        <w:rPr>
          <w:color w:val="444A52"/>
          <w:sz w:val="21"/>
        </w:rPr>
        <w:t>Inspect and rectify electrical grounding (earthing) systems for all gangways.</w:t>
      </w:r>
    </w:p>
    <w:p>
      <w:pPr>
        <w:pStyle w:val="ListBullet"/>
        <w:spacing w:after="60" w:line="264" w:lineRule="auto"/>
        <w:ind w:left="454"/>
      </w:pPr>
      <w:r>
        <w:rPr>
          <w:color w:val="444A52"/>
          <w:sz w:val="21"/>
        </w:rPr>
        <w:t>Test and certify grounding resistance values following completion.</w:t>
      </w:r>
    </w:p>
    <w:p>
      <w:pPr>
        <w:keepNext/>
        <w:spacing w:before="200" w:after="60"/>
      </w:pPr>
      <w:r>
        <w:rPr>
          <w:b/>
          <w:color w:val="1C4E80"/>
          <w:sz w:val="22"/>
        </w:rPr>
        <w:t xml:space="preserve">4.7  </w:t>
      </w:r>
      <w:r>
        <w:rPr>
          <w:rFonts w:ascii="Calibri" w:hAnsi="Calibri"/>
          <w:b/>
          <w:color w:val="1C4E80"/>
          <w:sz w:val="22"/>
        </w:rPr>
        <w:t>Cable Tray Works (Docks D and K)</w:t>
      </w:r>
    </w:p>
    <w:p>
      <w:r>
        <w:rPr>
          <w:color w:val="444A52"/>
          <w:sz w:val="21"/>
        </w:rPr>
        <w:t>The Contractor shall:</w:t>
      </w:r>
    </w:p>
    <w:p>
      <w:pPr>
        <w:pStyle w:val="ListBullet"/>
        <w:spacing w:after="60" w:line="264" w:lineRule="auto"/>
        <w:ind w:left="454"/>
      </w:pPr>
      <w:r>
        <w:rPr>
          <w:color w:val="444A52"/>
          <w:sz w:val="21"/>
        </w:rPr>
        <w:t>Secure under-gangway cable trays using approved marine-grade support systems.</w:t>
      </w:r>
    </w:p>
    <w:p>
      <w:pPr>
        <w:pStyle w:val="ListBullet"/>
        <w:spacing w:after="60" w:line="264" w:lineRule="auto"/>
        <w:ind w:left="454"/>
      </w:pPr>
      <w:r>
        <w:rPr>
          <w:color w:val="444A52"/>
          <w:sz w:val="21"/>
        </w:rPr>
        <w:t>Supply and install all required fixing accessories.</w:t>
      </w:r>
    </w:p>
    <w:p>
      <w:pPr>
        <w:pStyle w:val="ListBullet"/>
        <w:spacing w:after="60" w:line="264" w:lineRule="auto"/>
        <w:ind w:left="454"/>
      </w:pPr>
      <w:r>
        <w:rPr>
          <w:color w:val="444A52"/>
          <w:sz w:val="21"/>
        </w:rPr>
        <w:t>Ensure cable tray alignment and support integrity.</w:t>
      </w:r>
    </w:p>
    <w:p>
      <w:r>
        <w:rPr>
          <w:color w:val="444A52"/>
          <w:sz w:val="21"/>
        </w:rPr>
        <w:t>Based on requirements identified across all dock gangways.</w:t>
      </w:r>
    </w:p>
    <w:p>
      <w:pPr>
        <w:keepNext/>
        <w:spacing w:before="320" w:after="120"/>
        <w:pBdr>
          <w:bottom w:val="single" w:sz="12" w:space="4" w:color="1C4E80"/>
        </w:pBdr>
      </w:pPr>
      <w:r>
        <w:rPr>
          <w:rFonts w:ascii="Calibri" w:hAnsi="Calibri"/>
          <w:b/>
          <w:color w:val="0E7690"/>
          <w:sz w:val="28"/>
        </w:rPr>
        <w:t xml:space="preserve">5.  </w:t>
      </w:r>
      <w:r>
        <w:rPr>
          <w:rFonts w:ascii="Calibri" w:hAnsi="Calibri"/>
          <w:b/>
          <w:color w:val="0B1F3A"/>
          <w:sz w:val="27"/>
        </w:rPr>
        <w:t>PONTOON JOINT PLATE REPAIRS</w:t>
      </w:r>
    </w:p>
    <w:p>
      <w:pPr>
        <w:spacing w:before="40" w:after="120"/>
      </w:pPr>
      <w:r>
        <w:rPr>
          <w:b/>
          <w:i/>
          <w:color w:val="0E7690"/>
          <w:sz w:val="19"/>
        </w:rPr>
        <w:t xml:space="preserve">Applicable to:  </w:t>
      </w:r>
      <w:r>
        <w:rPr>
          <w:i/>
          <w:color w:val="444A52"/>
          <w:sz w:val="19"/>
        </w:rPr>
        <w:t>Dock A, B, C, D, K</w:t>
      </w:r>
    </w:p>
    <w:p>
      <w:pPr>
        <w:keepNext/>
        <w:spacing w:before="200" w:after="60"/>
      </w:pPr>
      <w:r>
        <w:rPr>
          <w:b/>
          <w:color w:val="1C4E80"/>
          <w:sz w:val="22"/>
        </w:rPr>
        <w:t xml:space="preserve">5.1  </w:t>
      </w:r>
      <w:r>
        <w:rPr>
          <w:rFonts w:ascii="Calibri" w:hAnsi="Calibri"/>
          <w:b/>
          <w:color w:val="1C4E80"/>
          <w:sz w:val="22"/>
        </w:rPr>
        <w:t>Preferred Method (Option A)</w:t>
      </w:r>
    </w:p>
    <w:p>
      <w:pPr>
        <w:pStyle w:val="ListBullet"/>
        <w:spacing w:after="60" w:line="264" w:lineRule="auto"/>
        <w:ind w:left="454"/>
      </w:pPr>
      <w:r>
        <w:rPr>
          <w:color w:val="444A52"/>
          <w:sz w:val="21"/>
        </w:rPr>
        <w:t>Remove damaged joint plates.</w:t>
      </w:r>
    </w:p>
    <w:p>
      <w:pPr>
        <w:pStyle w:val="ListBullet"/>
        <w:spacing w:after="60" w:line="264" w:lineRule="auto"/>
        <w:ind w:left="454"/>
      </w:pPr>
      <w:r>
        <w:rPr>
          <w:color w:val="444A52"/>
          <w:sz w:val="21"/>
        </w:rPr>
        <w:t>Drill two additional fixing holes on site.</w:t>
      </w:r>
    </w:p>
    <w:p>
      <w:pPr>
        <w:pStyle w:val="ListBullet"/>
        <w:spacing w:after="60" w:line="264" w:lineRule="auto"/>
        <w:ind w:left="454"/>
      </w:pPr>
      <w:r>
        <w:rPr>
          <w:color w:val="444A52"/>
          <w:sz w:val="21"/>
        </w:rPr>
        <w:t>Install new fixings into pontoon concrete structure using approved plastic grips and marine-grade bolts.</w:t>
      </w:r>
    </w:p>
    <w:p>
      <w:pPr>
        <w:pStyle w:val="ListBullet"/>
        <w:spacing w:after="60" w:line="264" w:lineRule="auto"/>
        <w:ind w:left="454"/>
      </w:pPr>
      <w:r>
        <w:rPr>
          <w:color w:val="444A52"/>
          <w:sz w:val="21"/>
        </w:rPr>
        <w:t>Seal all abandoned holes with approved marine repair compound.</w:t>
      </w:r>
    </w:p>
    <w:p>
      <w:pPr>
        <w:keepNext/>
        <w:spacing w:before="200" w:after="60"/>
      </w:pPr>
      <w:r>
        <w:rPr>
          <w:b/>
          <w:color w:val="1C4E80"/>
          <w:sz w:val="22"/>
        </w:rPr>
        <w:t xml:space="preserve">5.2  </w:t>
      </w:r>
      <w:r>
        <w:rPr>
          <w:rFonts w:ascii="Calibri" w:hAnsi="Calibri"/>
          <w:b/>
          <w:color w:val="1C4E80"/>
          <w:sz w:val="22"/>
        </w:rPr>
        <w:t>Alternative Method (Option B)</w:t>
      </w:r>
    </w:p>
    <w:p>
      <w:pPr>
        <w:pStyle w:val="ListBullet"/>
        <w:spacing w:after="60" w:line="264" w:lineRule="auto"/>
        <w:ind w:left="454"/>
      </w:pPr>
      <w:r>
        <w:rPr>
          <w:color w:val="444A52"/>
          <w:sz w:val="21"/>
        </w:rPr>
        <w:t>Weld four support bolts to joint plates where approved by JYC.</w:t>
      </w:r>
    </w:p>
    <w:p>
      <w:pPr>
        <w:spacing w:before="80" w:after="40"/>
      </w:pPr>
      <w:r>
        <w:rPr>
          <w:b/>
          <w:color w:val="0B1F3A"/>
          <w:sz w:val="20"/>
        </w:rPr>
        <w:t>Joint Plate Quantities</w:t>
      </w:r>
    </w:p>
    <w:tbl>
      <w:tblPr>
        <w:tblW w:type="auto" w:w="0"/>
        <w:jc w:val="left"/>
        <w:tblLook w:firstColumn="1" w:firstRow="1" w:lastColumn="0" w:lastRow="0" w:noHBand="0" w:noVBand="1" w:val="04A0"/>
        <w:tblBorders>
          <w:top w:val="single" w:sz="6" w:space="0" w:color="D5DEE7"/>
          <w:left w:val="single" w:sz="6" w:space="0" w:color="D5DEE7"/>
          <w:bottom w:val="single" w:sz="6" w:space="0" w:color="D5DEE7"/>
          <w:right w:val="single" w:sz="6" w:space="0" w:color="D5DEE7"/>
          <w:insideH w:val="single" w:sz="6" w:space="0" w:color="D5DEE7"/>
          <w:insideV w:val="single" w:sz="6" w:space="0" w:color="D5DEE7"/>
        </w:tblBorders>
      </w:tblPr>
      <w:tblGrid>
        <w:gridCol w:w="4873"/>
        <w:gridCol w:w="4873"/>
      </w:tblGrid>
      <w:tr>
        <w:tc>
          <w:tcPr>
            <w:tcW w:type="dxa" w:w="3402"/>
            <w:shd w:val="clear" w:color="auto" w:fill="0B1F3A"/>
            <w:tcMar>
              <w:top w:w="60" w:type="dxa"/>
              <w:bottom w:w="60" w:type="dxa"/>
              <w:start w:w="110" w:type="dxa"/>
              <w:end w:w="110" w:type="dxa"/>
            </w:tcMar>
            <w:vAlign w:val="center"/>
          </w:tcPr>
          <w:p>
            <w:pPr>
              <w:spacing w:after="40" w:before="40"/>
              <w:jc w:val="left"/>
            </w:pPr>
            <w:r>
              <w:rPr>
                <w:rFonts w:ascii="Calibri" w:hAnsi="Calibri"/>
                <w:b/>
                <w:color w:val="FFFFFF"/>
                <w:sz w:val="20"/>
              </w:rPr>
              <w:t>Dock</w:t>
            </w:r>
          </w:p>
        </w:tc>
        <w:tc>
          <w:tcPr>
            <w:tcW w:type="dxa" w:w="3402"/>
            <w:shd w:val="clear" w:color="auto" w:fill="0B1F3A"/>
            <w:tcMar>
              <w:top w:w="60" w:type="dxa"/>
              <w:bottom w:w="60" w:type="dxa"/>
              <w:start w:w="110" w:type="dxa"/>
              <w:end w:w="110" w:type="dxa"/>
            </w:tcMar>
            <w:vAlign w:val="center"/>
          </w:tcPr>
          <w:p>
            <w:pPr>
              <w:spacing w:after="40" w:before="40"/>
              <w:jc w:val="center"/>
            </w:pPr>
            <w:r>
              <w:rPr>
                <w:rFonts w:ascii="Calibri" w:hAnsi="Calibri"/>
                <w:b/>
                <w:color w:val="FFFFFF"/>
                <w:sz w:val="20"/>
              </w:rPr>
              <w:t>Quantity</w:t>
            </w:r>
          </w:p>
        </w:tc>
      </w:tr>
      <w:tr>
        <w:tc>
          <w:tcPr>
            <w:tcW w:type="dxa" w:w="3402"/>
            <w:tcMar>
              <w:top w:w="60" w:type="dxa"/>
              <w:bottom w:w="60" w:type="dxa"/>
              <w:start w:w="110" w:type="dxa"/>
              <w:end w:w="110" w:type="dxa"/>
            </w:tcMar>
            <w:vAlign w:val="center"/>
          </w:tcPr>
          <w:p>
            <w:pPr>
              <w:spacing w:after="40" w:before="40"/>
              <w:jc w:val="left"/>
            </w:pPr>
            <w:r>
              <w:rPr>
                <w:rFonts w:ascii="Calibri" w:hAnsi="Calibri"/>
                <w:b/>
                <w:color w:val="444A52"/>
                <w:sz w:val="20"/>
              </w:rPr>
              <w:t>Dock A</w:t>
            </w:r>
          </w:p>
        </w:tc>
        <w:tc>
          <w:tcPr>
            <w:tcW w:type="dxa" w:w="3402"/>
            <w:tcMar>
              <w:top w:w="60" w:type="dxa"/>
              <w:bottom w:w="60" w:type="dxa"/>
              <w:start w:w="110" w:type="dxa"/>
              <w:end w:w="110" w:type="dxa"/>
            </w:tcMar>
            <w:vAlign w:val="center"/>
          </w:tcPr>
          <w:p>
            <w:pPr>
              <w:spacing w:after="40" w:before="40"/>
              <w:jc w:val="center"/>
            </w:pPr>
            <w:r>
              <w:rPr>
                <w:rFonts w:ascii="Calibri" w:hAnsi="Calibri"/>
                <w:b w:val="0"/>
                <w:color w:val="444A52"/>
                <w:sz w:val="20"/>
              </w:rPr>
              <w:t>16</w:t>
            </w:r>
          </w:p>
        </w:tc>
      </w:tr>
      <w:tr>
        <w:tc>
          <w:tcPr>
            <w:tcW w:type="dxa" w:w="3402"/>
            <w:shd w:val="clear" w:color="auto" w:fill="EAF1F7"/>
            <w:tcMar>
              <w:top w:w="60" w:type="dxa"/>
              <w:bottom w:w="60" w:type="dxa"/>
              <w:start w:w="110" w:type="dxa"/>
              <w:end w:w="110" w:type="dxa"/>
            </w:tcMar>
            <w:vAlign w:val="center"/>
          </w:tcPr>
          <w:p>
            <w:pPr>
              <w:spacing w:after="40" w:before="40"/>
              <w:jc w:val="left"/>
            </w:pPr>
            <w:r>
              <w:rPr>
                <w:rFonts w:ascii="Calibri" w:hAnsi="Calibri"/>
                <w:b/>
                <w:color w:val="444A52"/>
                <w:sz w:val="20"/>
              </w:rPr>
              <w:t>Dock B</w:t>
            </w:r>
          </w:p>
        </w:tc>
        <w:tc>
          <w:tcPr>
            <w:tcW w:type="dxa" w:w="3402"/>
            <w:shd w:val="clear" w:color="auto" w:fill="EAF1F7"/>
            <w:tcMar>
              <w:top w:w="60" w:type="dxa"/>
              <w:bottom w:w="60" w:type="dxa"/>
              <w:start w:w="110" w:type="dxa"/>
              <w:end w:w="110" w:type="dxa"/>
            </w:tcMar>
            <w:vAlign w:val="center"/>
          </w:tcPr>
          <w:p>
            <w:pPr>
              <w:spacing w:after="40" w:before="40"/>
              <w:jc w:val="center"/>
            </w:pPr>
            <w:r>
              <w:rPr>
                <w:rFonts w:ascii="Calibri" w:hAnsi="Calibri"/>
                <w:b w:val="0"/>
                <w:color w:val="444A52"/>
                <w:sz w:val="20"/>
              </w:rPr>
              <w:t>30</w:t>
            </w:r>
          </w:p>
        </w:tc>
      </w:tr>
      <w:tr>
        <w:tc>
          <w:tcPr>
            <w:tcW w:type="dxa" w:w="3402"/>
            <w:tcMar>
              <w:top w:w="60" w:type="dxa"/>
              <w:bottom w:w="60" w:type="dxa"/>
              <w:start w:w="110" w:type="dxa"/>
              <w:end w:w="110" w:type="dxa"/>
            </w:tcMar>
            <w:vAlign w:val="center"/>
          </w:tcPr>
          <w:p>
            <w:pPr>
              <w:spacing w:after="40" w:before="40"/>
              <w:jc w:val="left"/>
            </w:pPr>
            <w:r>
              <w:rPr>
                <w:rFonts w:ascii="Calibri" w:hAnsi="Calibri"/>
                <w:b/>
                <w:color w:val="444A52"/>
                <w:sz w:val="20"/>
              </w:rPr>
              <w:t>Dock C</w:t>
            </w:r>
          </w:p>
        </w:tc>
        <w:tc>
          <w:tcPr>
            <w:tcW w:type="dxa" w:w="3402"/>
            <w:tcMar>
              <w:top w:w="60" w:type="dxa"/>
              <w:bottom w:w="60" w:type="dxa"/>
              <w:start w:w="110" w:type="dxa"/>
              <w:end w:w="110" w:type="dxa"/>
            </w:tcMar>
            <w:vAlign w:val="center"/>
          </w:tcPr>
          <w:p>
            <w:pPr>
              <w:spacing w:after="40" w:before="40"/>
              <w:jc w:val="center"/>
            </w:pPr>
            <w:r>
              <w:rPr>
                <w:rFonts w:ascii="Calibri" w:hAnsi="Calibri"/>
                <w:b w:val="0"/>
                <w:color w:val="444A52"/>
                <w:sz w:val="20"/>
              </w:rPr>
              <w:t>18</w:t>
            </w:r>
          </w:p>
        </w:tc>
      </w:tr>
      <w:tr>
        <w:tc>
          <w:tcPr>
            <w:tcW w:type="dxa" w:w="3402"/>
            <w:shd w:val="clear" w:color="auto" w:fill="EAF1F7"/>
            <w:tcMar>
              <w:top w:w="60" w:type="dxa"/>
              <w:bottom w:w="60" w:type="dxa"/>
              <w:start w:w="110" w:type="dxa"/>
              <w:end w:w="110" w:type="dxa"/>
            </w:tcMar>
            <w:vAlign w:val="center"/>
          </w:tcPr>
          <w:p>
            <w:pPr>
              <w:spacing w:after="40" w:before="40"/>
              <w:jc w:val="left"/>
            </w:pPr>
            <w:r>
              <w:rPr>
                <w:rFonts w:ascii="Calibri" w:hAnsi="Calibri"/>
                <w:b/>
                <w:color w:val="444A52"/>
                <w:sz w:val="20"/>
              </w:rPr>
              <w:t>Dock D</w:t>
            </w:r>
          </w:p>
        </w:tc>
        <w:tc>
          <w:tcPr>
            <w:tcW w:type="dxa" w:w="3402"/>
            <w:shd w:val="clear" w:color="auto" w:fill="EAF1F7"/>
            <w:tcMar>
              <w:top w:w="60" w:type="dxa"/>
              <w:bottom w:w="60" w:type="dxa"/>
              <w:start w:w="110" w:type="dxa"/>
              <w:end w:w="110" w:type="dxa"/>
            </w:tcMar>
            <w:vAlign w:val="center"/>
          </w:tcPr>
          <w:p>
            <w:pPr>
              <w:spacing w:after="40" w:before="40"/>
              <w:jc w:val="center"/>
            </w:pPr>
            <w:r>
              <w:rPr>
                <w:rFonts w:ascii="Calibri" w:hAnsi="Calibri"/>
                <w:b w:val="0"/>
                <w:color w:val="444A52"/>
                <w:sz w:val="20"/>
              </w:rPr>
              <w:t>24</w:t>
            </w:r>
          </w:p>
        </w:tc>
      </w:tr>
      <w:tr>
        <w:tc>
          <w:tcPr>
            <w:tcW w:type="dxa" w:w="3402"/>
            <w:tcMar>
              <w:top w:w="60" w:type="dxa"/>
              <w:bottom w:w="60" w:type="dxa"/>
              <w:start w:w="110" w:type="dxa"/>
              <w:end w:w="110" w:type="dxa"/>
            </w:tcMar>
            <w:vAlign w:val="center"/>
          </w:tcPr>
          <w:p>
            <w:pPr>
              <w:spacing w:after="40" w:before="40"/>
              <w:jc w:val="left"/>
            </w:pPr>
            <w:r>
              <w:rPr>
                <w:rFonts w:ascii="Calibri" w:hAnsi="Calibri"/>
                <w:b/>
                <w:color w:val="444A52"/>
                <w:sz w:val="20"/>
              </w:rPr>
              <w:t>Dock K</w:t>
            </w:r>
          </w:p>
        </w:tc>
        <w:tc>
          <w:tcPr>
            <w:tcW w:type="dxa" w:w="3402"/>
            <w:tcMar>
              <w:top w:w="60" w:type="dxa"/>
              <w:bottom w:w="60" w:type="dxa"/>
              <w:start w:w="110" w:type="dxa"/>
              <w:end w:w="110" w:type="dxa"/>
            </w:tcMar>
            <w:vAlign w:val="center"/>
          </w:tcPr>
          <w:p>
            <w:pPr>
              <w:spacing w:after="40" w:before="40"/>
              <w:jc w:val="center"/>
            </w:pPr>
            <w:r>
              <w:rPr>
                <w:rFonts w:ascii="Calibri" w:hAnsi="Calibri"/>
                <w:b w:val="0"/>
                <w:color w:val="444A52"/>
                <w:sz w:val="20"/>
              </w:rPr>
              <w:t>16</w:t>
            </w:r>
          </w:p>
        </w:tc>
      </w:tr>
      <w:tr>
        <w:tc>
          <w:tcPr>
            <w:tcW w:type="dxa" w:w="3402"/>
            <w:shd w:val="clear" w:color="auto" w:fill="1C4E80"/>
            <w:tcMar>
              <w:top w:w="60" w:type="dxa"/>
              <w:bottom w:w="60" w:type="dxa"/>
              <w:start w:w="110" w:type="dxa"/>
              <w:end w:w="110" w:type="dxa"/>
            </w:tcMar>
            <w:vAlign w:val="center"/>
          </w:tcPr>
          <w:p>
            <w:pPr>
              <w:spacing w:after="40" w:before="40"/>
              <w:jc w:val="left"/>
            </w:pPr>
            <w:r>
              <w:rPr>
                <w:rFonts w:ascii="Calibri" w:hAnsi="Calibri"/>
                <w:b/>
                <w:color w:val="FFFFFF"/>
                <w:sz w:val="20"/>
              </w:rPr>
              <w:t>Total</w:t>
            </w:r>
          </w:p>
        </w:tc>
        <w:tc>
          <w:tcPr>
            <w:tcW w:type="dxa" w:w="3402"/>
            <w:shd w:val="clear" w:color="auto" w:fill="1C4E80"/>
            <w:tcMar>
              <w:top w:w="60" w:type="dxa"/>
              <w:bottom w:w="60" w:type="dxa"/>
              <w:start w:w="110" w:type="dxa"/>
              <w:end w:w="110" w:type="dxa"/>
            </w:tcMar>
            <w:vAlign w:val="center"/>
          </w:tcPr>
          <w:p>
            <w:pPr>
              <w:spacing w:after="40" w:before="40"/>
              <w:jc w:val="center"/>
            </w:pPr>
            <w:r>
              <w:rPr>
                <w:rFonts w:ascii="Calibri" w:hAnsi="Calibri"/>
                <w:b/>
                <w:color w:val="FFFFFF"/>
                <w:sz w:val="20"/>
              </w:rPr>
              <w:t>104 Joint Plates</w:t>
            </w:r>
          </w:p>
        </w:tc>
      </w:tr>
    </w:tbl>
    <w:p>
      <w:pPr>
        <w:spacing w:after="40"/>
      </w:pPr>
    </w:p>
    <w:p>
      <w:pPr>
        <w:keepNext/>
        <w:spacing w:before="320" w:after="120"/>
        <w:pBdr>
          <w:bottom w:val="single" w:sz="12" w:space="4" w:color="1C4E80"/>
        </w:pBdr>
      </w:pPr>
      <w:r>
        <w:rPr>
          <w:rFonts w:ascii="Calibri" w:hAnsi="Calibri"/>
          <w:b/>
          <w:color w:val="0E7690"/>
          <w:sz w:val="28"/>
        </w:rPr>
        <w:t xml:space="preserve">6.  </w:t>
      </w:r>
      <w:r>
        <w:rPr>
          <w:rFonts w:ascii="Calibri" w:hAnsi="Calibri"/>
          <w:b/>
          <w:color w:val="0B1F3A"/>
          <w:sz w:val="27"/>
        </w:rPr>
        <w:t>PONTOON SURFACE AND PILE REFURBISHMENT</w:t>
      </w:r>
    </w:p>
    <w:p>
      <w:pPr>
        <w:spacing w:before="40" w:after="120"/>
      </w:pPr>
      <w:r>
        <w:rPr>
          <w:b/>
          <w:i/>
          <w:color w:val="0E7690"/>
          <w:sz w:val="19"/>
        </w:rPr>
        <w:t xml:space="preserve">Applicable to:  </w:t>
      </w:r>
      <w:r>
        <w:rPr>
          <w:i/>
          <w:color w:val="444A52"/>
          <w:sz w:val="19"/>
        </w:rPr>
        <w:t>Dock A, B, C, K &amp; Slipway Pontoon</w:t>
      </w:r>
    </w:p>
    <w:p>
      <w:r>
        <w:rPr>
          <w:color w:val="444A52"/>
          <w:sz w:val="21"/>
        </w:rPr>
        <w:t>The Contractor shall:</w:t>
      </w:r>
    </w:p>
    <w:p>
      <w:pPr>
        <w:pStyle w:val="ListBullet"/>
        <w:spacing w:after="60" w:line="264" w:lineRule="auto"/>
        <w:ind w:left="454"/>
      </w:pPr>
      <w:r>
        <w:rPr>
          <w:color w:val="444A52"/>
          <w:sz w:val="21"/>
        </w:rPr>
        <w:t>Prepare all pontoon surfaces.</w:t>
      </w:r>
    </w:p>
    <w:p>
      <w:pPr>
        <w:pStyle w:val="ListBullet"/>
        <w:spacing w:after="60" w:line="264" w:lineRule="auto"/>
        <w:ind w:left="454"/>
      </w:pPr>
      <w:r>
        <w:rPr>
          <w:color w:val="444A52"/>
          <w:sz w:val="21"/>
        </w:rPr>
        <w:t>Remove loose coatings and corrosion.</w:t>
      </w:r>
    </w:p>
    <w:p>
      <w:pPr>
        <w:pStyle w:val="ListBullet"/>
        <w:spacing w:after="60" w:line="264" w:lineRule="auto"/>
        <w:ind w:left="454"/>
      </w:pPr>
      <w:r>
        <w:rPr>
          <w:color w:val="444A52"/>
          <w:sz w:val="21"/>
        </w:rPr>
        <w:t>Apply approved marine coating system.</w:t>
      </w:r>
    </w:p>
    <w:p>
      <w:pPr>
        <w:pStyle w:val="ListBullet"/>
        <w:spacing w:after="60" w:line="264" w:lineRule="auto"/>
        <w:ind w:left="454"/>
      </w:pPr>
      <w:r>
        <w:rPr>
          <w:color w:val="444A52"/>
          <w:sz w:val="21"/>
        </w:rPr>
        <w:t>Repaint all pontoon surfaces.</w:t>
      </w:r>
    </w:p>
    <w:p>
      <w:pPr>
        <w:pStyle w:val="ListBullet"/>
        <w:spacing w:after="60" w:line="264" w:lineRule="auto"/>
        <w:ind w:left="454"/>
      </w:pPr>
      <w:r>
        <w:rPr>
          <w:color w:val="444A52"/>
          <w:sz w:val="21"/>
        </w:rPr>
        <w:t>Prepare and repaint marina piles.</w:t>
      </w:r>
    </w:p>
    <w:p>
      <w:pPr>
        <w:pStyle w:val="ListBullet"/>
        <w:spacing w:after="60" w:line="264" w:lineRule="auto"/>
        <w:ind w:left="454"/>
      </w:pPr>
      <w:r>
        <w:rPr>
          <w:color w:val="444A52"/>
          <w:sz w:val="21"/>
        </w:rPr>
        <w:t>Provide coating system data sheets and warranty information.</w:t>
      </w:r>
    </w:p>
    <w:p>
      <w:pPr>
        <w:keepNext/>
        <w:spacing w:before="320" w:after="120"/>
        <w:pBdr>
          <w:bottom w:val="single" w:sz="12" w:space="4" w:color="1C4E80"/>
        </w:pBdr>
      </w:pPr>
      <w:r>
        <w:rPr>
          <w:rFonts w:ascii="Calibri" w:hAnsi="Calibri"/>
          <w:b/>
          <w:color w:val="0E7690"/>
          <w:sz w:val="28"/>
        </w:rPr>
        <w:t xml:space="preserve">7.  </w:t>
      </w:r>
      <w:r>
        <w:rPr>
          <w:rFonts w:ascii="Calibri" w:hAnsi="Calibri"/>
          <w:b/>
          <w:color w:val="0B1F3A"/>
          <w:sz w:val="27"/>
        </w:rPr>
        <w:t>FIBERGLASS PILE CAP REPLACEMENT</w:t>
      </w:r>
    </w:p>
    <w:p>
      <w:r>
        <w:rPr>
          <w:color w:val="444A52"/>
          <w:sz w:val="21"/>
        </w:rPr>
        <w:t>The Contractor shall supply and install new fiberglass pile caps as follows:</w:t>
      </w:r>
    </w:p>
    <w:tbl>
      <w:tblPr>
        <w:tblW w:type="auto" w:w="0"/>
        <w:jc w:val="left"/>
        <w:tblLook w:firstColumn="1" w:firstRow="1" w:lastColumn="0" w:lastRow="0" w:noHBand="0" w:noVBand="1" w:val="04A0"/>
        <w:tblBorders>
          <w:top w:val="single" w:sz="6" w:space="0" w:color="D5DEE7"/>
          <w:left w:val="single" w:sz="6" w:space="0" w:color="D5DEE7"/>
          <w:bottom w:val="single" w:sz="6" w:space="0" w:color="D5DEE7"/>
          <w:right w:val="single" w:sz="6" w:space="0" w:color="D5DEE7"/>
          <w:insideH w:val="single" w:sz="6" w:space="0" w:color="D5DEE7"/>
          <w:insideV w:val="single" w:sz="6" w:space="0" w:color="D5DEE7"/>
        </w:tblBorders>
      </w:tblPr>
      <w:tblGrid>
        <w:gridCol w:w="4873"/>
        <w:gridCol w:w="4873"/>
      </w:tblGrid>
      <w:tr>
        <w:tc>
          <w:tcPr>
            <w:tcW w:type="dxa" w:w="3402"/>
            <w:shd w:val="clear" w:color="auto" w:fill="0B1F3A"/>
            <w:tcMar>
              <w:top w:w="60" w:type="dxa"/>
              <w:bottom w:w="60" w:type="dxa"/>
              <w:start w:w="110" w:type="dxa"/>
              <w:end w:w="110" w:type="dxa"/>
            </w:tcMar>
            <w:vAlign w:val="center"/>
          </w:tcPr>
          <w:p>
            <w:pPr>
              <w:spacing w:after="40" w:before="40"/>
              <w:jc w:val="left"/>
            </w:pPr>
            <w:r>
              <w:rPr>
                <w:rFonts w:ascii="Calibri" w:hAnsi="Calibri"/>
                <w:b/>
                <w:color w:val="FFFFFF"/>
                <w:sz w:val="20"/>
              </w:rPr>
              <w:t>Location</w:t>
            </w:r>
          </w:p>
        </w:tc>
        <w:tc>
          <w:tcPr>
            <w:tcW w:type="dxa" w:w="3402"/>
            <w:shd w:val="clear" w:color="auto" w:fill="0B1F3A"/>
            <w:tcMar>
              <w:top w:w="60" w:type="dxa"/>
              <w:bottom w:w="60" w:type="dxa"/>
              <w:start w:w="110" w:type="dxa"/>
              <w:end w:w="110" w:type="dxa"/>
            </w:tcMar>
            <w:vAlign w:val="center"/>
          </w:tcPr>
          <w:p>
            <w:pPr>
              <w:spacing w:after="40" w:before="40"/>
              <w:jc w:val="center"/>
            </w:pPr>
            <w:r>
              <w:rPr>
                <w:rFonts w:ascii="Calibri" w:hAnsi="Calibri"/>
                <w:b/>
                <w:color w:val="FFFFFF"/>
                <w:sz w:val="20"/>
              </w:rPr>
              <w:t>Quantity</w:t>
            </w:r>
          </w:p>
        </w:tc>
      </w:tr>
      <w:tr>
        <w:tc>
          <w:tcPr>
            <w:tcW w:type="dxa" w:w="3402"/>
            <w:tcMar>
              <w:top w:w="60" w:type="dxa"/>
              <w:bottom w:w="60" w:type="dxa"/>
              <w:start w:w="110" w:type="dxa"/>
              <w:end w:w="110" w:type="dxa"/>
            </w:tcMar>
            <w:vAlign w:val="center"/>
          </w:tcPr>
          <w:p>
            <w:pPr>
              <w:spacing w:after="40" w:before="40"/>
              <w:jc w:val="left"/>
            </w:pPr>
            <w:r>
              <w:rPr>
                <w:rFonts w:ascii="Calibri" w:hAnsi="Calibri"/>
                <w:b/>
                <w:color w:val="444A52"/>
                <w:sz w:val="20"/>
              </w:rPr>
              <w:t>Dock A</w:t>
            </w:r>
          </w:p>
        </w:tc>
        <w:tc>
          <w:tcPr>
            <w:tcW w:type="dxa" w:w="3402"/>
            <w:tcMar>
              <w:top w:w="60" w:type="dxa"/>
              <w:bottom w:w="60" w:type="dxa"/>
              <w:start w:w="110" w:type="dxa"/>
              <w:end w:w="110" w:type="dxa"/>
            </w:tcMar>
            <w:vAlign w:val="center"/>
          </w:tcPr>
          <w:p>
            <w:pPr>
              <w:spacing w:after="40" w:before="40"/>
              <w:jc w:val="center"/>
            </w:pPr>
            <w:r>
              <w:rPr>
                <w:rFonts w:ascii="Calibri" w:hAnsi="Calibri"/>
                <w:b w:val="0"/>
                <w:color w:val="444A52"/>
                <w:sz w:val="20"/>
              </w:rPr>
              <w:t>9</w:t>
            </w:r>
          </w:p>
        </w:tc>
      </w:tr>
      <w:tr>
        <w:tc>
          <w:tcPr>
            <w:tcW w:type="dxa" w:w="3402"/>
            <w:shd w:val="clear" w:color="auto" w:fill="EAF1F7"/>
            <w:tcMar>
              <w:top w:w="60" w:type="dxa"/>
              <w:bottom w:w="60" w:type="dxa"/>
              <w:start w:w="110" w:type="dxa"/>
              <w:end w:w="110" w:type="dxa"/>
            </w:tcMar>
            <w:vAlign w:val="center"/>
          </w:tcPr>
          <w:p>
            <w:pPr>
              <w:spacing w:after="40" w:before="40"/>
              <w:jc w:val="left"/>
            </w:pPr>
            <w:r>
              <w:rPr>
                <w:rFonts w:ascii="Calibri" w:hAnsi="Calibri"/>
                <w:b/>
                <w:color w:val="444A52"/>
                <w:sz w:val="20"/>
              </w:rPr>
              <w:t>Dock B</w:t>
            </w:r>
          </w:p>
        </w:tc>
        <w:tc>
          <w:tcPr>
            <w:tcW w:type="dxa" w:w="3402"/>
            <w:shd w:val="clear" w:color="auto" w:fill="EAF1F7"/>
            <w:tcMar>
              <w:top w:w="60" w:type="dxa"/>
              <w:bottom w:w="60" w:type="dxa"/>
              <w:start w:w="110" w:type="dxa"/>
              <w:end w:w="110" w:type="dxa"/>
            </w:tcMar>
            <w:vAlign w:val="center"/>
          </w:tcPr>
          <w:p>
            <w:pPr>
              <w:spacing w:after="40" w:before="40"/>
              <w:jc w:val="center"/>
            </w:pPr>
            <w:r>
              <w:rPr>
                <w:rFonts w:ascii="Calibri" w:hAnsi="Calibri"/>
                <w:b w:val="0"/>
                <w:color w:val="444A52"/>
                <w:sz w:val="20"/>
              </w:rPr>
              <w:t>13</w:t>
            </w:r>
          </w:p>
        </w:tc>
      </w:tr>
      <w:tr>
        <w:tc>
          <w:tcPr>
            <w:tcW w:type="dxa" w:w="3402"/>
            <w:tcMar>
              <w:top w:w="60" w:type="dxa"/>
              <w:bottom w:w="60" w:type="dxa"/>
              <w:start w:w="110" w:type="dxa"/>
              <w:end w:w="110" w:type="dxa"/>
            </w:tcMar>
            <w:vAlign w:val="center"/>
          </w:tcPr>
          <w:p>
            <w:pPr>
              <w:spacing w:after="40" w:before="40"/>
              <w:jc w:val="left"/>
            </w:pPr>
            <w:r>
              <w:rPr>
                <w:rFonts w:ascii="Calibri" w:hAnsi="Calibri"/>
                <w:b/>
                <w:color w:val="444A52"/>
                <w:sz w:val="20"/>
              </w:rPr>
              <w:t>Dock C</w:t>
            </w:r>
          </w:p>
        </w:tc>
        <w:tc>
          <w:tcPr>
            <w:tcW w:type="dxa" w:w="3402"/>
            <w:tcMar>
              <w:top w:w="60" w:type="dxa"/>
              <w:bottom w:w="60" w:type="dxa"/>
              <w:start w:w="110" w:type="dxa"/>
              <w:end w:w="110" w:type="dxa"/>
            </w:tcMar>
            <w:vAlign w:val="center"/>
          </w:tcPr>
          <w:p>
            <w:pPr>
              <w:spacing w:after="40" w:before="40"/>
              <w:jc w:val="center"/>
            </w:pPr>
            <w:r>
              <w:rPr>
                <w:rFonts w:ascii="Calibri" w:hAnsi="Calibri"/>
                <w:b w:val="0"/>
                <w:color w:val="444A52"/>
                <w:sz w:val="20"/>
              </w:rPr>
              <w:t>9</w:t>
            </w:r>
          </w:p>
        </w:tc>
      </w:tr>
      <w:tr>
        <w:tc>
          <w:tcPr>
            <w:tcW w:type="dxa" w:w="3402"/>
            <w:shd w:val="clear" w:color="auto" w:fill="EAF1F7"/>
            <w:tcMar>
              <w:top w:w="60" w:type="dxa"/>
              <w:bottom w:w="60" w:type="dxa"/>
              <w:start w:w="110" w:type="dxa"/>
              <w:end w:w="110" w:type="dxa"/>
            </w:tcMar>
            <w:vAlign w:val="center"/>
          </w:tcPr>
          <w:p>
            <w:pPr>
              <w:spacing w:after="40" w:before="40"/>
              <w:jc w:val="left"/>
            </w:pPr>
            <w:r>
              <w:rPr>
                <w:rFonts w:ascii="Calibri" w:hAnsi="Calibri"/>
                <w:b/>
                <w:color w:val="444A52"/>
                <w:sz w:val="20"/>
              </w:rPr>
              <w:t>Dock D</w:t>
            </w:r>
          </w:p>
        </w:tc>
        <w:tc>
          <w:tcPr>
            <w:tcW w:type="dxa" w:w="3402"/>
            <w:shd w:val="clear" w:color="auto" w:fill="EAF1F7"/>
            <w:tcMar>
              <w:top w:w="60" w:type="dxa"/>
              <w:bottom w:w="60" w:type="dxa"/>
              <w:start w:w="110" w:type="dxa"/>
              <w:end w:w="110" w:type="dxa"/>
            </w:tcMar>
            <w:vAlign w:val="center"/>
          </w:tcPr>
          <w:p>
            <w:pPr>
              <w:spacing w:after="40" w:before="40"/>
              <w:jc w:val="center"/>
            </w:pPr>
            <w:r>
              <w:rPr>
                <w:rFonts w:ascii="Calibri" w:hAnsi="Calibri"/>
                <w:b w:val="0"/>
                <w:color w:val="444A52"/>
                <w:sz w:val="20"/>
              </w:rPr>
              <w:t>9</w:t>
            </w:r>
          </w:p>
        </w:tc>
      </w:tr>
      <w:tr>
        <w:tc>
          <w:tcPr>
            <w:tcW w:type="dxa" w:w="3402"/>
            <w:tcMar>
              <w:top w:w="60" w:type="dxa"/>
              <w:bottom w:w="60" w:type="dxa"/>
              <w:start w:w="110" w:type="dxa"/>
              <w:end w:w="110" w:type="dxa"/>
            </w:tcMar>
            <w:vAlign w:val="center"/>
          </w:tcPr>
          <w:p>
            <w:pPr>
              <w:spacing w:after="40" w:before="40"/>
              <w:jc w:val="left"/>
            </w:pPr>
            <w:r>
              <w:rPr>
                <w:rFonts w:ascii="Calibri" w:hAnsi="Calibri"/>
                <w:b/>
                <w:color w:val="444A52"/>
                <w:sz w:val="20"/>
              </w:rPr>
              <w:t>Dock K</w:t>
            </w:r>
          </w:p>
        </w:tc>
        <w:tc>
          <w:tcPr>
            <w:tcW w:type="dxa" w:w="3402"/>
            <w:tcMar>
              <w:top w:w="60" w:type="dxa"/>
              <w:bottom w:w="60" w:type="dxa"/>
              <w:start w:w="110" w:type="dxa"/>
              <w:end w:w="110" w:type="dxa"/>
            </w:tcMar>
            <w:vAlign w:val="center"/>
          </w:tcPr>
          <w:p>
            <w:pPr>
              <w:spacing w:after="40" w:before="40"/>
              <w:jc w:val="center"/>
            </w:pPr>
            <w:r>
              <w:rPr>
                <w:rFonts w:ascii="Calibri" w:hAnsi="Calibri"/>
                <w:b w:val="0"/>
                <w:color w:val="444A52"/>
                <w:sz w:val="20"/>
              </w:rPr>
              <w:t>5</w:t>
            </w:r>
          </w:p>
        </w:tc>
      </w:tr>
      <w:tr>
        <w:tc>
          <w:tcPr>
            <w:tcW w:type="dxa" w:w="3402"/>
            <w:shd w:val="clear" w:color="auto" w:fill="1C4E80"/>
            <w:tcMar>
              <w:top w:w="60" w:type="dxa"/>
              <w:bottom w:w="60" w:type="dxa"/>
              <w:start w:w="110" w:type="dxa"/>
              <w:end w:w="110" w:type="dxa"/>
            </w:tcMar>
            <w:vAlign w:val="center"/>
          </w:tcPr>
          <w:p>
            <w:pPr>
              <w:spacing w:after="40" w:before="40"/>
              <w:jc w:val="left"/>
            </w:pPr>
            <w:r>
              <w:rPr>
                <w:rFonts w:ascii="Calibri" w:hAnsi="Calibri"/>
                <w:b/>
                <w:color w:val="FFFFFF"/>
                <w:sz w:val="20"/>
              </w:rPr>
              <w:t>Total</w:t>
            </w:r>
          </w:p>
        </w:tc>
        <w:tc>
          <w:tcPr>
            <w:tcW w:type="dxa" w:w="3402"/>
            <w:shd w:val="clear" w:color="auto" w:fill="1C4E80"/>
            <w:tcMar>
              <w:top w:w="60" w:type="dxa"/>
              <w:bottom w:w="60" w:type="dxa"/>
              <w:start w:w="110" w:type="dxa"/>
              <w:end w:w="110" w:type="dxa"/>
            </w:tcMar>
            <w:vAlign w:val="center"/>
          </w:tcPr>
          <w:p>
            <w:pPr>
              <w:spacing w:after="40" w:before="40"/>
              <w:jc w:val="center"/>
            </w:pPr>
            <w:r>
              <w:rPr>
                <w:rFonts w:ascii="Calibri" w:hAnsi="Calibri"/>
                <w:b/>
                <w:color w:val="FFFFFF"/>
                <w:sz w:val="20"/>
              </w:rPr>
              <w:t>45 Pile Caps</w:t>
            </w:r>
          </w:p>
        </w:tc>
      </w:tr>
    </w:tbl>
    <w:p>
      <w:pPr>
        <w:spacing w:after="40"/>
      </w:pPr>
    </w:p>
    <w:p>
      <w:r>
        <w:rPr>
          <w:color w:val="444A52"/>
          <w:sz w:val="21"/>
        </w:rPr>
        <w:t>The Contractor shall:</w:t>
      </w:r>
    </w:p>
    <w:p>
      <w:pPr>
        <w:pStyle w:val="ListBullet"/>
        <w:spacing w:after="60" w:line="264" w:lineRule="auto"/>
        <w:ind w:left="454"/>
      </w:pPr>
      <w:r>
        <w:rPr>
          <w:color w:val="444A52"/>
          <w:sz w:val="21"/>
        </w:rPr>
        <w:t>Remove existing damaged pile caps.</w:t>
      </w:r>
    </w:p>
    <w:p>
      <w:pPr>
        <w:pStyle w:val="ListBullet"/>
        <w:spacing w:after="60" w:line="264" w:lineRule="auto"/>
        <w:ind w:left="454"/>
      </w:pPr>
      <w:r>
        <w:rPr>
          <w:color w:val="444A52"/>
          <w:sz w:val="21"/>
        </w:rPr>
        <w:t>Supply marine-grade fiberglass pile caps.</w:t>
      </w:r>
    </w:p>
    <w:p>
      <w:pPr>
        <w:pStyle w:val="ListBullet"/>
        <w:spacing w:after="60" w:line="264" w:lineRule="auto"/>
        <w:ind w:left="454"/>
      </w:pPr>
      <w:r>
        <w:rPr>
          <w:color w:val="444A52"/>
          <w:sz w:val="21"/>
        </w:rPr>
        <w:t>Install and secure pile caps in accordance with manufacturer recommendations.</w:t>
      </w:r>
    </w:p>
    <w:p>
      <w:pPr>
        <w:keepNext/>
        <w:spacing w:before="320" w:after="120"/>
        <w:pBdr>
          <w:bottom w:val="single" w:sz="12" w:space="4" w:color="1C4E80"/>
        </w:pBdr>
      </w:pPr>
      <w:r>
        <w:rPr>
          <w:rFonts w:ascii="Calibri" w:hAnsi="Calibri"/>
          <w:b/>
          <w:color w:val="0E7690"/>
          <w:sz w:val="28"/>
        </w:rPr>
        <w:t xml:space="preserve">8.  </w:t>
      </w:r>
      <w:r>
        <w:rPr>
          <w:rFonts w:ascii="Calibri" w:hAnsi="Calibri"/>
          <w:b/>
          <w:color w:val="0B1F3A"/>
          <w:sz w:val="27"/>
        </w:rPr>
        <w:t>PILE BRACKET AND WEAR PAD REPAIRS</w:t>
      </w:r>
    </w:p>
    <w:p>
      <w:pPr>
        <w:spacing w:before="40" w:after="120"/>
      </w:pPr>
      <w:r>
        <w:rPr>
          <w:b/>
          <w:i/>
          <w:color w:val="0E7690"/>
          <w:sz w:val="19"/>
        </w:rPr>
        <w:t xml:space="preserve">Applicable to:  </w:t>
      </w:r>
      <w:r>
        <w:rPr>
          <w:i/>
          <w:color w:val="444A52"/>
          <w:sz w:val="19"/>
        </w:rPr>
        <w:t>Dock D &amp; K</w:t>
      </w:r>
    </w:p>
    <w:p>
      <w:r>
        <w:rPr>
          <w:color w:val="444A52"/>
          <w:sz w:val="21"/>
        </w:rPr>
        <w:t>The Contractor shall:</w:t>
      </w:r>
    </w:p>
    <w:p>
      <w:pPr>
        <w:pStyle w:val="ListBullet"/>
        <w:spacing w:after="60" w:line="264" w:lineRule="auto"/>
        <w:ind w:left="454"/>
      </w:pPr>
      <w:r>
        <w:rPr>
          <w:color w:val="444A52"/>
          <w:sz w:val="21"/>
        </w:rPr>
        <w:t>Remove damaged wear pads.</w:t>
      </w:r>
    </w:p>
    <w:p>
      <w:pPr>
        <w:pStyle w:val="ListBullet"/>
        <w:spacing w:after="60" w:line="264" w:lineRule="auto"/>
        <w:ind w:left="454"/>
      </w:pPr>
      <w:r>
        <w:rPr>
          <w:color w:val="444A52"/>
          <w:sz w:val="21"/>
        </w:rPr>
        <w:t>Supply and install replacement wear pads.</w:t>
      </w:r>
    </w:p>
    <w:p>
      <w:pPr>
        <w:pStyle w:val="ListBullet"/>
        <w:spacing w:after="60" w:line="264" w:lineRule="auto"/>
        <w:ind w:left="454"/>
      </w:pPr>
      <w:r>
        <w:rPr>
          <w:color w:val="444A52"/>
          <w:sz w:val="21"/>
        </w:rPr>
        <w:t>Adjust pile bracket fixing hole alignment.</w:t>
      </w:r>
    </w:p>
    <w:p>
      <w:pPr>
        <w:pStyle w:val="ListBullet"/>
        <w:spacing w:after="60" w:line="264" w:lineRule="auto"/>
        <w:ind w:left="454"/>
      </w:pPr>
      <w:r>
        <w:rPr>
          <w:color w:val="444A52"/>
          <w:sz w:val="21"/>
        </w:rPr>
        <w:t>Rectify bracket positioning to prevent premature wear.</w:t>
      </w:r>
    </w:p>
    <w:p>
      <w:pPr>
        <w:pStyle w:val="ListBullet"/>
        <w:spacing w:after="60" w:line="264" w:lineRule="auto"/>
        <w:ind w:left="454"/>
      </w:pPr>
      <w:r>
        <w:rPr>
          <w:color w:val="444A52"/>
          <w:sz w:val="21"/>
        </w:rPr>
        <w:t>Supply spare wear pads for future maintenance.</w:t>
      </w:r>
    </w:p>
    <w:p>
      <w:pPr>
        <w:spacing w:before="80" w:after="40"/>
      </w:pPr>
      <w:r>
        <w:rPr>
          <w:b/>
          <w:color w:val="0B1F3A"/>
          <w:sz w:val="20"/>
        </w:rPr>
        <w:t>Minimum Quantity</w:t>
      </w:r>
    </w:p>
    <w:p>
      <w:pPr>
        <w:pStyle w:val="ListBullet"/>
        <w:spacing w:after="60" w:line="264" w:lineRule="auto"/>
        <w:ind w:left="454"/>
      </w:pPr>
      <w:r>
        <w:rPr>
          <w:color w:val="444A52"/>
          <w:sz w:val="21"/>
        </w:rPr>
        <w:t>10 wear pads per dock, inclusive of spare stock.</w:t>
      </w:r>
    </w:p>
    <w:p>
      <w:pPr>
        <w:keepNext/>
        <w:spacing w:before="320" w:after="120"/>
        <w:pBdr>
          <w:bottom w:val="single" w:sz="12" w:space="4" w:color="1C4E80"/>
        </w:pBdr>
      </w:pPr>
      <w:r>
        <w:rPr>
          <w:rFonts w:ascii="Calibri" w:hAnsi="Calibri"/>
          <w:b/>
          <w:color w:val="0E7690"/>
          <w:sz w:val="28"/>
        </w:rPr>
        <w:t xml:space="preserve">9.  </w:t>
      </w:r>
      <w:r>
        <w:rPr>
          <w:rFonts w:ascii="Calibri" w:hAnsi="Calibri"/>
          <w:b/>
          <w:color w:val="0B1F3A"/>
          <w:sz w:val="27"/>
        </w:rPr>
        <w:t>MAIN WAVE BREAKER AND NAVIGATION POLE REHABILITATION</w:t>
      </w:r>
    </w:p>
    <w:p>
      <w:r>
        <w:rPr>
          <w:color w:val="444A52"/>
          <w:sz w:val="21"/>
        </w:rPr>
        <w:t>The Contractor shall carry out the following works:</w:t>
      </w:r>
    </w:p>
    <w:p>
      <w:pPr>
        <w:keepNext/>
        <w:spacing w:before="200" w:after="60"/>
      </w:pPr>
      <w:r>
        <w:rPr>
          <w:b/>
          <w:color w:val="1C4E80"/>
          <w:sz w:val="22"/>
        </w:rPr>
        <w:t xml:space="preserve">9.1  </w:t>
      </w:r>
      <w:r>
        <w:rPr>
          <w:rFonts w:ascii="Calibri" w:hAnsi="Calibri"/>
          <w:b/>
          <w:color w:val="1C4E80"/>
          <w:sz w:val="22"/>
        </w:rPr>
        <w:t>Wave Breaker</w:t>
      </w:r>
    </w:p>
    <w:p>
      <w:pPr>
        <w:pStyle w:val="ListBullet"/>
        <w:spacing w:after="60" w:line="264" w:lineRule="auto"/>
        <w:ind w:left="454"/>
      </w:pPr>
      <w:r>
        <w:rPr>
          <w:color w:val="444A52"/>
          <w:sz w:val="21"/>
        </w:rPr>
        <w:t>Prepare exposed steel surfaces.</w:t>
      </w:r>
    </w:p>
    <w:p>
      <w:pPr>
        <w:pStyle w:val="ListBullet"/>
        <w:spacing w:after="60" w:line="264" w:lineRule="auto"/>
        <w:ind w:left="454"/>
      </w:pPr>
      <w:r>
        <w:rPr>
          <w:color w:val="444A52"/>
          <w:sz w:val="21"/>
        </w:rPr>
        <w:t>Remove corrosion.</w:t>
      </w:r>
    </w:p>
    <w:p>
      <w:pPr>
        <w:pStyle w:val="ListBullet"/>
        <w:spacing w:after="60" w:line="264" w:lineRule="auto"/>
        <w:ind w:left="454"/>
      </w:pPr>
      <w:r>
        <w:rPr>
          <w:color w:val="444A52"/>
          <w:sz w:val="21"/>
        </w:rPr>
        <w:t>Apply approved marine anti-corrosion coating system.</w:t>
      </w:r>
    </w:p>
    <w:p>
      <w:pPr>
        <w:pStyle w:val="ListBullet"/>
        <w:spacing w:after="60" w:line="264" w:lineRule="auto"/>
        <w:ind w:left="454"/>
      </w:pPr>
      <w:r>
        <w:rPr>
          <w:color w:val="444A52"/>
          <w:sz w:val="21"/>
        </w:rPr>
        <w:t>Repaint complete wave breaker structure.</w:t>
      </w:r>
    </w:p>
    <w:p>
      <w:pPr>
        <w:keepNext/>
        <w:spacing w:before="200" w:after="60"/>
      </w:pPr>
      <w:r>
        <w:rPr>
          <w:b/>
          <w:color w:val="1C4E80"/>
          <w:sz w:val="22"/>
        </w:rPr>
        <w:t xml:space="preserve">9.2  </w:t>
      </w:r>
      <w:r>
        <w:rPr>
          <w:rFonts w:ascii="Calibri" w:hAnsi="Calibri"/>
          <w:b/>
          <w:color w:val="1C4E80"/>
          <w:sz w:val="22"/>
        </w:rPr>
        <w:t>Navigation Poles</w:t>
      </w:r>
    </w:p>
    <w:p>
      <w:pPr>
        <w:pStyle w:val="ListBullet"/>
        <w:spacing w:after="60" w:line="264" w:lineRule="auto"/>
        <w:ind w:left="454"/>
      </w:pPr>
      <w:r>
        <w:rPr>
          <w:color w:val="444A52"/>
          <w:sz w:val="21"/>
        </w:rPr>
        <w:t>Remove corrosion.</w:t>
      </w:r>
    </w:p>
    <w:p>
      <w:pPr>
        <w:pStyle w:val="ListBullet"/>
        <w:spacing w:after="60" w:line="264" w:lineRule="auto"/>
        <w:ind w:left="454"/>
      </w:pPr>
      <w:r>
        <w:rPr>
          <w:color w:val="444A52"/>
          <w:sz w:val="21"/>
        </w:rPr>
        <w:t>Repaint navigation poles.</w:t>
      </w:r>
    </w:p>
    <w:p>
      <w:pPr>
        <w:pStyle w:val="ListBullet"/>
        <w:spacing w:after="60" w:line="264" w:lineRule="auto"/>
        <w:ind w:left="454"/>
      </w:pPr>
      <w:r>
        <w:rPr>
          <w:color w:val="444A52"/>
          <w:sz w:val="21"/>
        </w:rPr>
        <w:t>Replace heavily corroded foundation anchor bolts.</w:t>
      </w:r>
    </w:p>
    <w:p>
      <w:pPr>
        <w:keepNext/>
        <w:spacing w:before="200" w:after="60"/>
      </w:pPr>
      <w:r>
        <w:rPr>
          <w:b/>
          <w:color w:val="1C4E80"/>
          <w:sz w:val="22"/>
        </w:rPr>
        <w:t xml:space="preserve">9.3  </w:t>
      </w:r>
      <w:r>
        <w:rPr>
          <w:rFonts w:ascii="Calibri" w:hAnsi="Calibri"/>
          <w:b/>
          <w:color w:val="1C4E80"/>
          <w:sz w:val="22"/>
        </w:rPr>
        <w:t>Manhole Repair</w:t>
      </w:r>
    </w:p>
    <w:p>
      <w:pPr>
        <w:pStyle w:val="ListBullet"/>
        <w:spacing w:after="60" w:line="264" w:lineRule="auto"/>
        <w:ind w:left="454"/>
      </w:pPr>
      <w:r>
        <w:rPr>
          <w:color w:val="444A52"/>
          <w:sz w:val="21"/>
        </w:rPr>
        <w:t>Remove temporary plywood cover.</w:t>
      </w:r>
    </w:p>
    <w:p>
      <w:pPr>
        <w:pStyle w:val="ListBullet"/>
        <w:spacing w:after="60" w:line="264" w:lineRule="auto"/>
        <w:ind w:left="454"/>
      </w:pPr>
      <w:r>
        <w:rPr>
          <w:color w:val="444A52"/>
          <w:sz w:val="21"/>
        </w:rPr>
        <w:t>Supply and install permanent marine-grade manhole cover.</w:t>
      </w:r>
    </w:p>
    <w:p>
      <w:pPr>
        <w:pStyle w:val="ListBullet"/>
        <w:spacing w:after="60" w:line="264" w:lineRule="auto"/>
        <w:ind w:left="454"/>
      </w:pPr>
      <w:r>
        <w:rPr>
          <w:color w:val="444A52"/>
          <w:sz w:val="21"/>
        </w:rPr>
        <w:t>Reinstate surrounding area.</w:t>
      </w:r>
    </w:p>
    <w:p>
      <w:pPr>
        <w:keepNext/>
        <w:spacing w:before="320" w:after="120"/>
        <w:pBdr>
          <w:bottom w:val="single" w:sz="12" w:space="4" w:color="1C4E80"/>
        </w:pBdr>
      </w:pPr>
      <w:r>
        <w:rPr>
          <w:rFonts w:ascii="Calibri" w:hAnsi="Calibri"/>
          <w:b/>
          <w:color w:val="0E7690"/>
          <w:sz w:val="28"/>
        </w:rPr>
        <w:t xml:space="preserve">10.  </w:t>
      </w:r>
      <w:r>
        <w:rPr>
          <w:rFonts w:ascii="Calibri" w:hAnsi="Calibri"/>
          <w:b/>
          <w:color w:val="0B1F3A"/>
          <w:sz w:val="27"/>
        </w:rPr>
        <w:t>QUAY WALL SURFACE REPAINTING</w:t>
      </w:r>
    </w:p>
    <w:p>
      <w:r>
        <w:rPr>
          <w:color w:val="444A52"/>
          <w:sz w:val="21"/>
        </w:rPr>
        <w:t>The Contractor shall:</w:t>
      </w:r>
    </w:p>
    <w:p>
      <w:pPr>
        <w:pStyle w:val="ListBullet"/>
        <w:spacing w:after="60" w:line="264" w:lineRule="auto"/>
        <w:ind w:left="454"/>
      </w:pPr>
      <w:r>
        <w:rPr>
          <w:color w:val="444A52"/>
          <w:sz w:val="21"/>
        </w:rPr>
        <w:t>Prepare top surface of quay wall surrounding the marina basin.</w:t>
      </w:r>
    </w:p>
    <w:p>
      <w:pPr>
        <w:pStyle w:val="ListBullet"/>
        <w:spacing w:after="60" w:line="264" w:lineRule="auto"/>
        <w:ind w:left="454"/>
      </w:pPr>
      <w:r>
        <w:rPr>
          <w:color w:val="444A52"/>
          <w:sz w:val="21"/>
        </w:rPr>
        <w:t>Remove deteriorated coatings.</w:t>
      </w:r>
    </w:p>
    <w:p>
      <w:pPr>
        <w:pStyle w:val="ListBullet"/>
        <w:spacing w:after="60" w:line="264" w:lineRule="auto"/>
        <w:ind w:left="454"/>
      </w:pPr>
      <w:r>
        <w:rPr>
          <w:color w:val="444A52"/>
          <w:sz w:val="21"/>
        </w:rPr>
        <w:t>Apply approved marine coating system.</w:t>
      </w:r>
    </w:p>
    <w:p>
      <w:pPr>
        <w:pStyle w:val="ListBullet"/>
        <w:spacing w:after="60" w:line="264" w:lineRule="auto"/>
        <w:ind w:left="454"/>
      </w:pPr>
      <w:r>
        <w:rPr>
          <w:color w:val="444A52"/>
          <w:sz w:val="21"/>
        </w:rPr>
        <w:t>Repaint quay wall top surfaces only.</w:t>
      </w:r>
    </w:p>
    <w:p>
      <w:pPr>
        <w:keepNext/>
        <w:spacing w:before="320" w:after="120"/>
        <w:pBdr>
          <w:bottom w:val="single" w:sz="12" w:space="4" w:color="1C4E80"/>
        </w:pBdr>
      </w:pPr>
      <w:r>
        <w:rPr>
          <w:rFonts w:ascii="Calibri" w:hAnsi="Calibri"/>
          <w:b/>
          <w:color w:val="0E7690"/>
          <w:sz w:val="28"/>
        </w:rPr>
        <w:t xml:space="preserve">11.  </w:t>
      </w:r>
      <w:r>
        <w:rPr>
          <w:rFonts w:ascii="Calibri" w:hAnsi="Calibri"/>
          <w:b/>
          <w:color w:val="0B1F3A"/>
          <w:sz w:val="27"/>
        </w:rPr>
        <w:t>SLIPWAY PONTOON STRUCTURAL REPAIRS</w:t>
      </w:r>
    </w:p>
    <w:p>
      <w:r>
        <w:rPr>
          <w:color w:val="444A52"/>
          <w:sz w:val="21"/>
        </w:rPr>
        <w:t>The Contractor shall:</w:t>
      </w:r>
    </w:p>
    <w:p>
      <w:pPr>
        <w:pStyle w:val="ListBullet"/>
        <w:spacing w:after="60" w:line="264" w:lineRule="auto"/>
        <w:ind w:left="454"/>
      </w:pPr>
      <w:r>
        <w:rPr>
          <w:color w:val="444A52"/>
          <w:sz w:val="21"/>
        </w:rPr>
        <w:t>Inspect and repair stainless steel H-beam attached to quay wall.</w:t>
      </w:r>
    </w:p>
    <w:p>
      <w:pPr>
        <w:pStyle w:val="ListBullet"/>
        <w:spacing w:after="60" w:line="264" w:lineRule="auto"/>
        <w:ind w:left="454"/>
      </w:pPr>
      <w:r>
        <w:rPr>
          <w:color w:val="444A52"/>
          <w:sz w:val="21"/>
        </w:rPr>
        <w:t>Reinstall and secure foundation anchor bolts.</w:t>
      </w:r>
    </w:p>
    <w:p>
      <w:pPr>
        <w:pStyle w:val="ListBullet"/>
        <w:spacing w:after="60" w:line="264" w:lineRule="auto"/>
        <w:ind w:left="454"/>
      </w:pPr>
      <w:r>
        <w:rPr>
          <w:color w:val="444A52"/>
          <w:sz w:val="21"/>
        </w:rPr>
        <w:t>Repair damaged / spalled concrete around foundation areas.</w:t>
      </w:r>
    </w:p>
    <w:p>
      <w:pPr>
        <w:pStyle w:val="ListBullet"/>
        <w:spacing w:after="60" w:line="264" w:lineRule="auto"/>
        <w:ind w:left="454"/>
      </w:pPr>
      <w:r>
        <w:rPr>
          <w:color w:val="444A52"/>
          <w:sz w:val="21"/>
        </w:rPr>
        <w:t>Reinstate concrete using approved marine repair materials.</w:t>
      </w:r>
    </w:p>
    <w:p>
      <w:pPr>
        <w:pStyle w:val="ListBullet"/>
        <w:spacing w:after="60" w:line="264" w:lineRule="auto"/>
        <w:ind w:left="454"/>
      </w:pPr>
      <w:r>
        <w:rPr>
          <w:color w:val="444A52"/>
          <w:sz w:val="21"/>
        </w:rPr>
        <w:t>Ensure structural integrity and long-term durability of the installation.</w:t>
      </w:r>
    </w:p>
    <w:p>
      <w:pPr>
        <w:spacing w:after="200" w:before="0"/>
      </w:pPr>
    </w:p>
    <w:p>
      <w:pPr>
        <w:spacing w:before="160"/>
        <w:jc w:val="center"/>
        <w:pBdr>
          <w:top w:val="single" w:sz="10" w:space="6" w:color="0E7690"/>
        </w:pBdr>
      </w:pPr>
      <w:r>
        <w:rPr>
          <w:i/>
          <w:color w:val="7A8694"/>
          <w:sz w:val="18"/>
        </w:rPr>
        <w:t>— End of Technical Submittal —</w:t>
      </w:r>
    </w:p>
    <w:sectPr w:rsidR="00FC693F" w:rsidRPr="0006063C" w:rsidSect="00034616">
      <w:headerReference w:type="default" r:id="rId9"/>
      <w:footerReference w:type="default" r:id="rId10"/>
      <w:pgSz w:w="12240" w:h="15840"/>
      <w:pgMar w:top="1247" w:right="1247" w:bottom="113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8" w:space="4" w:color="D5DEE7"/>
      </w:pBdr>
      <w:spacing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rFonts w:ascii="Calibri" w:hAnsi="Calibri"/>
              <w:color w:val="7A8694"/>
              <w:sz w:val="15"/>
            </w:rPr>
            <w:t>Technical Submittal  |  Marina Infrastructure Maintenance &amp; Rehabilitation Works</w:t>
          </w:r>
        </w:p>
      </w:tc>
      <w:tc>
        <w:tcPr>
          <w:tcW w:type="dxa" w:w="4680"/>
        </w:tcPr>
        <w:p>
          <w:pPr>
            <w:jc w:val="right"/>
          </w:pPr>
          <w:r>
            <w:rPr>
              <w:color w:val="7A8694"/>
              <w:sz w:val="16"/>
            </w:rPr>
            <w:t xml:space="preserve">Page </w:t>
          </w:r>
          <w:r>
            <w:rPr>
              <w:color w:val="7A8694"/>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rFonts w:ascii="Calibri" w:hAnsi="Calibri"/>
              <w:b/>
              <w:color w:val="0B1F3A"/>
              <w:sz w:val="30"/>
            </w:rPr>
            <w:t>SELA</w:t>
          </w:r>
          <w:r>
            <w:rPr>
              <w:rFonts w:ascii="Calibri" w:hAnsi="Calibri"/>
              <w:color w:val="7A8694"/>
              <w:sz w:val="13"/>
            </w:rPr>
            <w:br/>
            <w:t>Client / Consultant</w:t>
          </w:r>
        </w:p>
      </w:tc>
      <w:tc>
        <w:tcPr>
          <w:tcW w:type="dxa" w:w="4680"/>
        </w:tcPr>
        <w:p>
          <w:pPr>
            <w:jc w:val="right"/>
          </w:pPr>
          <w:r>
            <w:rPr>
              <w:rFonts w:ascii="Calibri" w:hAnsi="Calibri"/>
              <w:b/>
              <w:color w:val="1C4E80"/>
              <w:sz w:val="30"/>
            </w:rPr>
            <w:t>SKYLANCE</w:t>
          </w:r>
          <w:r>
            <w:rPr>
              <w:rFonts w:ascii="Calibri" w:hAnsi="Calibri"/>
              <w:color w:val="7A8694"/>
              <w:sz w:val="13"/>
            </w:rPr>
            <w:br/>
            <w:t>Marine Infrastructure Contractor</w:t>
          </w:r>
        </w:p>
      </w:tc>
    </w:tr>
  </w:tbl>
  <w:p>
    <w:pPr>
      <w:spacing w:before="40" w:after="0"/>
      <w:pBdr>
        <w:bottom w:val="single" w:sz="14" w:space="1" w:color="1C4E8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69" w:after="120"/>
    </w:pPr>
    <w:rPr>
      <w:rFonts w:ascii="Calibri" w:hAnsi="Calibri"/>
      <w:color w:val="444A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