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Рівненський фаховий коледж інформаційних технологій</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Циклова комісія інформаційних технологій та інженерії</w:t>
      </w:r>
      <w:r w:rsidDel="00000000" w:rsidR="00000000" w:rsidRPr="00000000">
        <w:rPr>
          <w:rtl w:val="0"/>
        </w:rPr>
      </w:r>
    </w:p>
    <w:p w:rsidR="00000000" w:rsidDel="00000000" w:rsidP="00000000" w:rsidRDefault="00000000" w:rsidRPr="00000000" w14:paraId="00000004">
      <w:pPr>
        <w:spacing w:line="240" w:lineRule="auto"/>
        <w:ind w:lef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ind w:lef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ind w:lef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ind w:lef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ind w:lef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ind w:left="56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ind w:left="56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ind w:left="623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ind w:left="623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Звіт з навчальної практики</w:t>
        <w:br w:type="textWrapping"/>
        <w:t xml:space="preserve">об’єктно-орієнтованого програмування</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студента Ковальчука Євгена Миколайовича</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tabs>
          <w:tab w:val="left" w:leader="none" w:pos="3119"/>
        </w:tabs>
        <w:spacing w:line="360" w:lineRule="auto"/>
        <w:ind w:left="3119"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спеціальність</w:t>
      </w:r>
      <w:r w:rsidDel="00000000" w:rsidR="00000000" w:rsidRPr="00000000">
        <w:rPr>
          <w:rFonts w:ascii="Times New Roman" w:cs="Times New Roman" w:eastAsia="Times New Roman" w:hAnsi="Times New Roman"/>
          <w:b w:val="1"/>
          <w:bCs w:val="1"/>
          <w:sz w:val="28"/>
          <w:szCs w:val="28"/>
          <w:rtl w:val="0"/>
        </w:rPr>
        <w:t xml:space="preserve"> </w:t>
        <w:tab/>
        <w:t xml:space="preserve">121 Інженерія програмного забезпечення</w:t>
      </w:r>
    </w:p>
    <w:p w:rsidR="00000000" w:rsidDel="00000000" w:rsidP="00000000" w:rsidRDefault="00000000" w:rsidRPr="00000000" w14:paraId="00000014">
      <w:pPr>
        <w:tabs>
          <w:tab w:val="left" w:leader="none" w:pos="3119"/>
        </w:tabs>
        <w:spacing w:line="360" w:lineRule="auto"/>
        <w:ind w:left="311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галузь знань</w:t>
      </w:r>
      <w:r w:rsidDel="00000000" w:rsidR="00000000" w:rsidRPr="00000000">
        <w:rPr>
          <w:rFonts w:ascii="Times New Roman" w:cs="Times New Roman" w:eastAsia="Times New Roman" w:hAnsi="Times New Roman"/>
          <w:b w:val="1"/>
          <w:bCs w:val="1"/>
          <w:sz w:val="28"/>
          <w:szCs w:val="28"/>
          <w:rtl w:val="0"/>
        </w:rPr>
        <w:t xml:space="preserve"> </w:t>
        <w:tab/>
        <w:t xml:space="preserve">12 Інформаційні технології</w:t>
      </w:r>
      <w:r w:rsidDel="00000000" w:rsidR="00000000" w:rsidRPr="00000000">
        <w:rPr>
          <w:rtl w:val="0"/>
        </w:rPr>
      </w:r>
    </w:p>
    <w:p w:rsidR="00000000" w:rsidDel="00000000" w:rsidP="00000000" w:rsidRDefault="00000000" w:rsidRPr="00000000" w14:paraId="00000015">
      <w:pPr>
        <w:tabs>
          <w:tab w:val="left" w:leader="none" w:pos="3119"/>
        </w:tabs>
        <w:spacing w:line="360" w:lineRule="auto"/>
        <w:ind w:left="311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відділення</w:t>
      </w:r>
      <w:r w:rsidDel="00000000" w:rsidR="00000000" w:rsidRPr="00000000">
        <w:rPr>
          <w:rFonts w:ascii="Times New Roman" w:cs="Times New Roman" w:eastAsia="Times New Roman" w:hAnsi="Times New Roman"/>
          <w:b w:val="1"/>
          <w:bCs w:val="1"/>
          <w:sz w:val="28"/>
          <w:szCs w:val="28"/>
          <w:rtl w:val="0"/>
        </w:rPr>
        <w:t xml:space="preserve"> </w:t>
        <w:tab/>
        <w:t xml:space="preserve">інформаційних технологій, управління та адміністрування</w:t>
      </w:r>
      <w:r w:rsidDel="00000000" w:rsidR="00000000" w:rsidRPr="00000000">
        <w:rPr>
          <w:rtl w:val="0"/>
        </w:rPr>
      </w:r>
    </w:p>
    <w:p w:rsidR="00000000" w:rsidDel="00000000" w:rsidP="00000000" w:rsidRDefault="00000000" w:rsidRPr="00000000" w14:paraId="00000016">
      <w:pPr>
        <w:tabs>
          <w:tab w:val="left" w:leader="none" w:pos="3119"/>
        </w:tabs>
        <w:spacing w:line="360" w:lineRule="auto"/>
        <w:ind w:left="311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група</w:t>
      </w:r>
      <w:r w:rsidDel="00000000" w:rsidR="00000000" w:rsidRPr="00000000">
        <w:rPr>
          <w:rFonts w:ascii="Times New Roman" w:cs="Times New Roman" w:eastAsia="Times New Roman" w:hAnsi="Times New Roman"/>
          <w:b w:val="1"/>
          <w:bCs w:val="1"/>
          <w:sz w:val="28"/>
          <w:szCs w:val="28"/>
          <w:rtl w:val="0"/>
        </w:rPr>
        <w:tab/>
        <w:t xml:space="preserve">ІПЗ-3/2</w:t>
      </w:r>
      <w:r w:rsidDel="00000000" w:rsidR="00000000" w:rsidRPr="00000000">
        <w:rPr>
          <w:rtl w:val="0"/>
        </w:rPr>
      </w:r>
    </w:p>
    <w:p w:rsidR="00000000" w:rsidDel="00000000" w:rsidP="00000000" w:rsidRDefault="00000000" w:rsidRPr="00000000" w14:paraId="00000017">
      <w:pPr>
        <w:tabs>
          <w:tab w:val="left" w:leader="none" w:pos="3119"/>
        </w:tabs>
        <w:spacing w:line="360" w:lineRule="auto"/>
        <w:ind w:left="311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 навчання</w:t>
      </w:r>
      <w:r w:rsidDel="00000000" w:rsidR="00000000" w:rsidRPr="00000000">
        <w:rPr>
          <w:rFonts w:ascii="Times New Roman" w:cs="Times New Roman" w:eastAsia="Times New Roman" w:hAnsi="Times New Roman"/>
          <w:b w:val="1"/>
          <w:bCs w:val="1"/>
          <w:sz w:val="28"/>
          <w:szCs w:val="28"/>
          <w:rtl w:val="0"/>
        </w:rPr>
        <w:tab/>
        <w:t xml:space="preserve">денна</w:t>
      </w:r>
      <w:r w:rsidDel="00000000" w:rsidR="00000000" w:rsidRPr="00000000">
        <w:rPr>
          <w:rtl w:val="0"/>
        </w:rPr>
      </w:r>
    </w:p>
    <w:p w:rsidR="00000000" w:rsidDel="00000000" w:rsidP="00000000" w:rsidRDefault="00000000" w:rsidRPr="00000000" w14:paraId="00000018">
      <w:pPr>
        <w:tabs>
          <w:tab w:val="left" w:leader="none" w:pos="3119"/>
        </w:tabs>
        <w:spacing w:line="360" w:lineRule="auto"/>
        <w:ind w:left="3119"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періоди проходження</w:t>
        <w:tab/>
      </w:r>
      <w:r w:rsidDel="00000000" w:rsidR="00000000" w:rsidRPr="00000000">
        <w:rPr>
          <w:rFonts w:ascii="Times New Roman" w:cs="Times New Roman" w:eastAsia="Times New Roman" w:hAnsi="Times New Roman"/>
          <w:b w:val="1"/>
          <w:bCs w:val="1"/>
          <w:sz w:val="28"/>
          <w:szCs w:val="28"/>
          <w:rtl w:val="0"/>
        </w:rPr>
        <w:t xml:space="preserve">18.05.2026 – 22.05.2026, 25.05.2026 – 29.05.2026</w:t>
      </w: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1"/>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18.05.2026</w:t>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1</w:t>
      </w:r>
      <w:r w:rsidDel="00000000" w:rsidR="00000000" w:rsidRPr="00000000">
        <w:rPr>
          <w:rtl w:val="0"/>
        </w:rPr>
      </w:r>
    </w:p>
    <w:tbl>
      <w:tblPr>
        <w:tblStyle w:val="Table1"/>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1B">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1C">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задачі та формування вимог.</w:t>
            </w:r>
          </w:p>
        </w:tc>
      </w:tr>
      <w:tr>
        <w:trPr>
          <w:cantSplit w:val="1"/>
          <w:tblHeader w:val="0"/>
        </w:trPr>
        <w:tc>
          <w:tcPr>
            <w:vAlign w:val="top"/>
          </w:tcPr>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1E">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Здійснити постановку задачі для розробки об’єктно-орієнтованого застосунку, проаналізувати предметну область, визначити функціональні та нефункціональні вимоги до програмного продукту.</w:t>
            </w:r>
          </w:p>
        </w:tc>
      </w:tr>
    </w:tbl>
    <w:p w:rsidR="00000000" w:rsidDel="00000000" w:rsidP="00000000" w:rsidRDefault="00000000" w:rsidRPr="00000000" w14:paraId="0000001F">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20">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Постановка задачі є першим етапом життєвого циклу розробки програмного забезпечення. Вона передбачає чітке формулювання мети застосунку, визначення цільової аудиторії, окреслення меж предметної області та виокремлення основних сценаріїв використання. На основі аналізу формуються функціональні вимоги (що саме має робити система) та нефункціональні (продуктивність, надійність, зручність використання). Об’єктно-орієнтований підхід передбачає виділення на цьому етапі ключових сутностей предметної області, які пізніше будуть реалізовані як класи. Якісно сформульовані вимоги є основою успішного проєктування та реалізації об’єктної моделі застосунку.</w:t>
      </w:r>
    </w:p>
    <w:p w:rsidR="00000000" w:rsidDel="00000000" w:rsidP="00000000" w:rsidRDefault="00000000" w:rsidRPr="00000000" w14:paraId="00000021">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22">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Опис предметної області та цілей розробки застосунку.</w:t>
      </w:r>
    </w:p>
    <w:p w:rsidR="00000000" w:rsidDel="00000000" w:rsidP="00000000" w:rsidRDefault="00000000" w:rsidRPr="00000000" w14:paraId="00000023">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Виділення основних акторів та сценаріїв використання.</w:t>
      </w:r>
    </w:p>
    <w:p w:rsidR="00000000" w:rsidDel="00000000" w:rsidP="00000000" w:rsidRDefault="00000000" w:rsidRPr="00000000" w14:paraId="00000024">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Формулювання функціональних і нефункціональних вимог.</w:t>
      </w:r>
    </w:p>
    <w:p w:rsidR="00000000" w:rsidDel="00000000" w:rsidP="00000000" w:rsidRDefault="00000000" w:rsidRPr="00000000" w14:paraId="00000025">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Складання плану реалізації проєкту.</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1"/>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19.05.2026 - 20.05.2026</w:t>
      </w:r>
    </w:p>
    <w:p w:rsidR="00000000" w:rsidDel="00000000" w:rsidP="00000000" w:rsidRDefault="00000000" w:rsidRPr="00000000" w14:paraId="0000002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2</w:t>
      </w:r>
      <w:r w:rsidDel="00000000" w:rsidR="00000000" w:rsidRPr="00000000">
        <w:rPr>
          <w:rtl w:val="0"/>
        </w:rPr>
      </w:r>
    </w:p>
    <w:tbl>
      <w:tblPr>
        <w:tblStyle w:val="Table2"/>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29">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2A">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Проєктування об’єктної моделі. UML-діаграма класів.</w:t>
            </w:r>
          </w:p>
        </w:tc>
      </w:tr>
      <w:tr>
        <w:trPr>
          <w:cantSplit w:val="1"/>
          <w:tblHeader w:val="0"/>
        </w:trPr>
        <w:tc>
          <w:tcPr>
            <w:vAlign w:val="top"/>
          </w:tcPr>
          <w:p w:rsidR="00000000" w:rsidDel="00000000" w:rsidP="00000000" w:rsidRDefault="00000000" w:rsidRPr="00000000" w14:paraId="000000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2C">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Спроєктувати об’єктну модель застосунку: виділити класи предметної області, визначити їх атрибути та методи, встановити зв’язки між класами, побудувати UML-діаграму класів.</w:t>
            </w:r>
          </w:p>
        </w:tc>
      </w:tr>
    </w:tbl>
    <w:p w:rsidR="00000000" w:rsidDel="00000000" w:rsidP="00000000" w:rsidRDefault="00000000" w:rsidRPr="00000000" w14:paraId="0000002D">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2E">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Проєктування об’єктної моделі передбачає переведення вимог до системи у структуру класів та зв’язків між ними. На цьому етапі виділяються сутності предметної області, визначаються їх відповідальності, абстрагується спільна поведінка у базових класах та інтерфейсах. Основним інструментом проєктування є мова моделювання UML (Unified Modeling Language), що дозволяє візуально подати структуру системи. Діаграма класів відображає класи, їх атрибути, методи та типи зв’язків – асоціацію, агрегацію, композицію, наслідування та реалізацію інтерфейсу. Якісно спроєктована об’єктна модель забезпечує гнучкість, повторне використання компонентів та зручність супроводу коду.</w:t>
      </w:r>
    </w:p>
    <w:p w:rsidR="00000000" w:rsidDel="00000000" w:rsidP="00000000" w:rsidRDefault="00000000" w:rsidRPr="00000000" w14:paraId="0000002F">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30">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Виділення класів предметної області.</w:t>
      </w:r>
    </w:p>
    <w:p w:rsidR="00000000" w:rsidDel="00000000" w:rsidP="00000000" w:rsidRDefault="00000000" w:rsidRPr="00000000" w14:paraId="00000031">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Визначення атрибутів та методів класів.</w:t>
      </w:r>
    </w:p>
    <w:p w:rsidR="00000000" w:rsidDel="00000000" w:rsidP="00000000" w:rsidRDefault="00000000" w:rsidRPr="00000000" w14:paraId="00000032">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Встановлення типів зв’язків між класами (асоціація, агрегація, композиція, наслідування).</w:t>
      </w:r>
    </w:p>
    <w:p w:rsidR="00000000" w:rsidDel="00000000" w:rsidP="00000000" w:rsidRDefault="00000000" w:rsidRPr="00000000" w14:paraId="00000033">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Побудова UML-діаграми класів засобами PlantUML або draw.io.</w:t>
      </w:r>
    </w:p>
    <w:p w:rsidR="00000000" w:rsidDel="00000000" w:rsidP="00000000" w:rsidRDefault="00000000" w:rsidRPr="00000000" w14:paraId="00000034">
      <w:pPr>
        <w:pageBreakBefore w:val="1"/>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21.05.2026-22.05.2026</w:t>
      </w:r>
    </w:p>
    <w:p w:rsidR="00000000" w:rsidDel="00000000" w:rsidP="00000000" w:rsidRDefault="00000000" w:rsidRPr="00000000" w14:paraId="0000003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3</w:t>
      </w:r>
      <w:r w:rsidDel="00000000" w:rsidR="00000000" w:rsidRPr="00000000">
        <w:rPr>
          <w:rtl w:val="0"/>
        </w:rPr>
      </w:r>
    </w:p>
    <w:tbl>
      <w:tblPr>
        <w:tblStyle w:val="Table3"/>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36">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37">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Реалізація класів. Інкапсуляція, конструктори, властивості.</w:t>
            </w:r>
          </w:p>
        </w:tc>
      </w:tr>
      <w:tr>
        <w:trPr>
          <w:cantSplit w:val="1"/>
          <w:tblHeader w:val="0"/>
        </w:trPr>
        <w:tc>
          <w:tcPr>
            <w:vAlign w:val="top"/>
          </w:tcPr>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39">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Ініціалізувати проєкт .NET 9+. Реалізувати класи предметної області мовою C# із застосуванням принципу інкапсуляції, перевантажених конструкторів, властивостей та статичних членів.</w:t>
            </w:r>
          </w:p>
        </w:tc>
      </w:tr>
    </w:tbl>
    <w:p w:rsidR="00000000" w:rsidDel="00000000" w:rsidP="00000000" w:rsidRDefault="00000000" w:rsidRPr="00000000" w14:paraId="0000003A">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3B">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Інкапсуляція є одним із фундаментальних принципів об’єктно-орієнтованого програмування і передбачає приховування внутрішнього стану об’єкта та надання доступу до нього лише через чітко визначений інтерфейс. У C# інкапсуляція реалізується за допомогою модифікаторів доступу (private, protected, public, internal) та властивостей (properties), які поєднують методи отримання й встановлення значення. Конструктори ініціалізують стан об’єкта в момент створення, а їх перевантаження дозволяє створювати об’єкти різними способами залежно від наявних даних. Правильне застосування інкапсуляції підвищує надійність коду, зменшує кількість помилок і полегшує супровід застосунку.</w:t>
      </w:r>
    </w:p>
    <w:p w:rsidR="00000000" w:rsidDel="00000000" w:rsidP="00000000" w:rsidRDefault="00000000" w:rsidRPr="00000000" w14:paraId="0000003C">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3D">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Створення проєкту .NET 9+ та налаштування Git-репозиторію.</w:t>
      </w:r>
    </w:p>
    <w:p w:rsidR="00000000" w:rsidDel="00000000" w:rsidP="00000000" w:rsidRDefault="00000000" w:rsidRPr="00000000" w14:paraId="0000003E">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Реалізація класів із приватними полями та публічними властивостями.</w:t>
      </w:r>
    </w:p>
    <w:p w:rsidR="00000000" w:rsidDel="00000000" w:rsidP="00000000" w:rsidRDefault="00000000" w:rsidRPr="00000000" w14:paraId="0000003F">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Створення перевантажених конструкторів класів.</w:t>
      </w:r>
    </w:p>
    <w:p w:rsidR="00000000" w:rsidDel="00000000" w:rsidP="00000000" w:rsidRDefault="00000000" w:rsidRPr="00000000" w14:paraId="00000040">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Перевизначення методів ToString(), Equals(), GetHashCode().</w:t>
      </w:r>
    </w:p>
    <w:p w:rsidR="00000000" w:rsidDel="00000000" w:rsidP="00000000" w:rsidRDefault="00000000" w:rsidRPr="00000000" w14:paraId="00000041">
      <w:pPr>
        <w:pageBreakBefore w:val="1"/>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25.05.2026</w:t>
      </w:r>
    </w:p>
    <w:p w:rsidR="00000000" w:rsidDel="00000000" w:rsidP="00000000" w:rsidRDefault="00000000" w:rsidRPr="00000000" w14:paraId="0000004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4</w:t>
      </w:r>
      <w:r w:rsidDel="00000000" w:rsidR="00000000" w:rsidRPr="00000000">
        <w:rPr>
          <w:rtl w:val="0"/>
        </w:rPr>
      </w:r>
    </w:p>
    <w:tbl>
      <w:tblPr>
        <w:tblStyle w:val="Table4"/>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43">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44">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Наслідування та поліморфізм. Інтерфейси та абстрактні класи.</w:t>
            </w:r>
          </w:p>
        </w:tc>
      </w:tr>
      <w:tr>
        <w:trPr>
          <w:cantSplit w:val="1"/>
          <w:tblHeader w:val="0"/>
        </w:trPr>
        <w:tc>
          <w:tcPr>
            <w:vAlign w:val="top"/>
          </w:tcPr>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46">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ієрархію класів із використанням наслідування. Застосувати поліморфізм через віртуальні методи. Виділити абстракції через інтерфейси та абстрактні класи.</w:t>
            </w:r>
          </w:p>
        </w:tc>
      </w:tr>
    </w:tbl>
    <w:p w:rsidR="00000000" w:rsidDel="00000000" w:rsidP="00000000" w:rsidRDefault="00000000" w:rsidRPr="00000000" w14:paraId="00000047">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48">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Наслідування дозволяє створювати нові класи на основі вже існуючих, успадковуючи їх структуру та поведінку. У C# підтримується одиничне наслідування класів та множинна реалізація інтерфейсів. Поліморфізм забезпечує можливість використання об’єктів похідних класів через посилання на базовий тип, причому виклик методу здійснюється відповідно до фактичного типу об’єкта (динамічне зв’язування) за допомогою ключових слів virtual та override. Абстрактні класи описують спільну поведінку для групи класів і не можуть бути створені безпосередньо, а інтерфейси визначають контракт без реалізації. Поєднання цих механізмів забезпечує гнучкість, розширюваність та повторне використання коду.</w:t>
      </w:r>
    </w:p>
    <w:p w:rsidR="00000000" w:rsidDel="00000000" w:rsidP="00000000" w:rsidRDefault="00000000" w:rsidRPr="00000000" w14:paraId="00000049">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4A">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Виділення базового та абстрактного класу, проєктування ієрархії.</w:t>
      </w:r>
    </w:p>
    <w:p w:rsidR="00000000" w:rsidDel="00000000" w:rsidP="00000000" w:rsidRDefault="00000000" w:rsidRPr="00000000" w14:paraId="0000004B">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Реалізація віртуальних методів з використанням virtual / override.</w:t>
      </w:r>
    </w:p>
    <w:p w:rsidR="00000000" w:rsidDel="00000000" w:rsidP="00000000" w:rsidRDefault="00000000" w:rsidRPr="00000000" w14:paraId="0000004C">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Проєктування інтерфейсів відповідно до принципу ISP.</w:t>
      </w:r>
    </w:p>
    <w:p w:rsidR="00000000" w:rsidDel="00000000" w:rsidP="00000000" w:rsidRDefault="00000000" w:rsidRPr="00000000" w14:paraId="0000004D">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Демонстрація поліморфної поведінки через колекцію базового типу.</w:t>
      </w:r>
    </w:p>
    <w:p w:rsidR="00000000" w:rsidDel="00000000" w:rsidP="00000000" w:rsidRDefault="00000000" w:rsidRPr="00000000" w14:paraId="0000004E">
      <w:pPr>
        <w:pageBreakBefore w:val="1"/>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26.05.2026-27.05.2026</w:t>
      </w:r>
    </w:p>
    <w:p w:rsidR="00000000" w:rsidDel="00000000" w:rsidP="00000000" w:rsidRDefault="00000000" w:rsidRPr="00000000" w14:paraId="0000004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5</w:t>
      </w:r>
      <w:r w:rsidDel="00000000" w:rsidR="00000000" w:rsidRPr="00000000">
        <w:rPr>
          <w:rtl w:val="0"/>
        </w:rPr>
      </w:r>
    </w:p>
    <w:tbl>
      <w:tblPr>
        <w:tblStyle w:val="Table5"/>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50">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51">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Узагальнені типи (Generics). Делегати та LINQ.</w:t>
            </w:r>
          </w:p>
        </w:tc>
      </w:tr>
      <w:tr>
        <w:trPr>
          <w:cantSplit w:val="1"/>
          <w:tblHeader w:val="0"/>
        </w:trPr>
        <w:tc>
          <w:tcPr>
            <w:vAlign w:val="top"/>
          </w:tcPr>
          <w:p w:rsidR="00000000" w:rsidDel="00000000" w:rsidP="00000000" w:rsidRDefault="00000000" w:rsidRPr="00000000" w14:paraId="0000005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53">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Застосувати узагальнені типи для створення типобезпечних структур даних. Реалізувати обробку колекцій із використанням делегатів, лямбда-виразів та LINQ.</w:t>
            </w:r>
          </w:p>
        </w:tc>
      </w:tr>
      <w:tr>
        <w:trPr>
          <w:cantSplit w:val="1"/>
          <w:tblHeader w:val="0"/>
        </w:trPr>
        <w:tc>
          <w:tcPr>
            <w:vAlign w:val="top"/>
          </w:tcPr>
          <w:p w:rsidR="00000000" w:rsidDel="00000000" w:rsidP="00000000" w:rsidRDefault="00000000" w:rsidRPr="00000000" w14:paraId="00000054">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vAlign w:val="top"/>
          </w:tcPr>
          <w:p w:rsidR="00000000" w:rsidDel="00000000" w:rsidP="00000000" w:rsidRDefault="00000000" w:rsidRPr="00000000" w14:paraId="00000055">
            <w:pPr>
              <w:keepNext w:val="1"/>
              <w:keepLines w:val="1"/>
              <w:spacing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6">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57">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Узагальнені типи (Generics) у C# дозволяють створювати код, що працює з різними типами даних без втрати типобезпеки та без зайвих перетворень типів (boxing/unboxing). Обмеження параметрів типу (where T : ...) дають змогу керувати тим, які саме типи можуть використовуватися. Делегати – це типобезпечні посилання на методи; вони лежать в основі лямбда-виразів та подій. Технологія LINQ (Language Integrated Query) надає декларативний синтаксис для виконання запитів до колекцій, баз даних та інших джерел даних. Спільне використання Generics, делегатів і LINQ суттєво зменшує обсяг коду, підвищує його виразність та забезпечує гнучкість обробки даних.</w:t>
      </w:r>
    </w:p>
    <w:p w:rsidR="00000000" w:rsidDel="00000000" w:rsidP="00000000" w:rsidRDefault="00000000" w:rsidRPr="00000000" w14:paraId="00000058">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59">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Реалізація узагальнених класів (Repository&lt;T&gt;, Cache&lt;TKey, TValue&gt;).</w:t>
      </w:r>
    </w:p>
    <w:p w:rsidR="00000000" w:rsidDel="00000000" w:rsidP="00000000" w:rsidRDefault="00000000" w:rsidRPr="00000000" w14:paraId="0000005A">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Створення делегатів та лямбда-виразів для обробки даних.</w:t>
      </w:r>
    </w:p>
    <w:p w:rsidR="00000000" w:rsidDel="00000000" w:rsidP="00000000" w:rsidRDefault="00000000" w:rsidRPr="00000000" w14:paraId="0000005B">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Написання LINQ-запитів: фільтрація, проекція, агрегація, групування.</w:t>
      </w:r>
    </w:p>
    <w:p w:rsidR="00000000" w:rsidDel="00000000" w:rsidP="00000000" w:rsidRDefault="00000000" w:rsidRPr="00000000" w14:paraId="0000005C">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Реалізація методів-розширень (extension methods).</w:t>
      </w:r>
    </w:p>
    <w:p w:rsidR="00000000" w:rsidDel="00000000" w:rsidP="00000000" w:rsidRDefault="00000000" w:rsidRPr="00000000" w14:paraId="0000005D">
      <w:pPr>
        <w:pageBreakBefore w:val="1"/>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28.05.2026</w:t>
      </w:r>
    </w:p>
    <w:p w:rsidR="00000000" w:rsidDel="00000000" w:rsidP="00000000" w:rsidRDefault="00000000" w:rsidRPr="00000000" w14:paraId="0000005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6</w:t>
      </w:r>
      <w:r w:rsidDel="00000000" w:rsidR="00000000" w:rsidRPr="00000000">
        <w:rPr>
          <w:rtl w:val="0"/>
        </w:rPr>
      </w:r>
    </w:p>
    <w:tbl>
      <w:tblPr>
        <w:tblStyle w:val="Table6"/>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5F">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60">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SOLID-принципи. Патерни проєктування. Обробка винятків.</w:t>
            </w:r>
          </w:p>
        </w:tc>
      </w:tr>
      <w:tr>
        <w:trPr>
          <w:cantSplit w:val="1"/>
          <w:tblHeader w:val="0"/>
        </w:trPr>
        <w:tc>
          <w:tcPr>
            <w:vAlign w:val="top"/>
          </w:tcPr>
          <w:p w:rsidR="00000000" w:rsidDel="00000000" w:rsidP="00000000" w:rsidRDefault="00000000" w:rsidRPr="00000000" w14:paraId="000000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62">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Застосувати принципи SOLID під час проєктування коду. Реалізувати один або кілька патернів проєктування (Factory, Strategy, Observer тощо). Забезпечити коректну обробку виняткових ситуацій.</w:t>
            </w:r>
          </w:p>
        </w:tc>
      </w:tr>
      <w:tr>
        <w:trPr>
          <w:cantSplit w:val="1"/>
          <w:tblHeader w:val="0"/>
        </w:trPr>
        <w:tc>
          <w:tcPr>
            <w:vAlign w:val="top"/>
          </w:tcPr>
          <w:p w:rsidR="00000000" w:rsidDel="00000000" w:rsidP="00000000" w:rsidRDefault="00000000" w:rsidRPr="00000000" w14:paraId="00000063">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vAlign w:val="top"/>
          </w:tcPr>
          <w:p w:rsidR="00000000" w:rsidDel="00000000" w:rsidP="00000000" w:rsidRDefault="00000000" w:rsidRPr="00000000" w14:paraId="00000064">
            <w:pPr>
              <w:keepNext w:val="1"/>
              <w:keepLines w:val="1"/>
              <w:spacing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5">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66">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Принципи SOLID – це п’ять базових правил об’єктно-орієнтованого проєктування: SRP (єдиної відповідальності), OCP (відкритості/закритості), LSP (підстановки Лісков), ISP (розділення інтерфейсів) та DIP (інверсії залежностей). Їх дотримання робить код гнучким, тестованим і таким, що легко розширюється. Патерни проєктування (Design Patterns) – це типові розв’язання повторюваних задач, серед яких породжувальні (Factory, Singleton), поведінкові (Strategy, Observer) та структурні (Decorator, Adapter, Facade). Обробка винятків забезпечує надійність застосунку: за допомогою конструкцій try/catch/finally відловлюються виняткові ситуації, а власні типи винятків дозволяють точно описувати помилки бізнес-логіки.</w:t>
      </w:r>
    </w:p>
    <w:p w:rsidR="00000000" w:rsidDel="00000000" w:rsidP="00000000" w:rsidRDefault="00000000" w:rsidRPr="00000000" w14:paraId="00000067">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68">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Рефакторинг коду відповідно до принципів SOLID.</w:t>
      </w:r>
    </w:p>
    <w:p w:rsidR="00000000" w:rsidDel="00000000" w:rsidP="00000000" w:rsidRDefault="00000000" w:rsidRPr="00000000" w14:paraId="00000069">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Реалізація патернів проєктування (Factory, Strategy, Observer).</w:t>
      </w:r>
    </w:p>
    <w:p w:rsidR="00000000" w:rsidDel="00000000" w:rsidP="00000000" w:rsidRDefault="00000000" w:rsidRPr="00000000" w14:paraId="0000006A">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Створення власних типів винятків.</w:t>
      </w:r>
    </w:p>
    <w:p w:rsidR="00000000" w:rsidDel="00000000" w:rsidP="00000000" w:rsidRDefault="00000000" w:rsidRPr="00000000" w14:paraId="0000006B">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Додавання блоків try/catch/finally та політики Retry.</w:t>
      </w:r>
    </w:p>
    <w:p w:rsidR="00000000" w:rsidDel="00000000" w:rsidP="00000000" w:rsidRDefault="00000000" w:rsidRPr="00000000" w14:paraId="0000006C">
      <w:pPr>
        <w:pageBreakBefore w:val="1"/>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29.05.2026</w:t>
      </w:r>
    </w:p>
    <w:p w:rsidR="00000000" w:rsidDel="00000000" w:rsidP="00000000" w:rsidRDefault="00000000" w:rsidRPr="00000000" w14:paraId="0000006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7</w:t>
      </w:r>
      <w:r w:rsidDel="00000000" w:rsidR="00000000" w:rsidRPr="00000000">
        <w:rPr>
          <w:rtl w:val="0"/>
        </w:rPr>
      </w:r>
    </w:p>
    <w:tbl>
      <w:tblPr>
        <w:tblStyle w:val="Table7"/>
        <w:tblW w:w="6590.0" w:type="dxa"/>
        <w:jc w:val="center"/>
        <w:tblLayout w:type="fixed"/>
        <w:tblLook w:val="0000"/>
      </w:tblPr>
      <w:tblGrid>
        <w:gridCol w:w="1062"/>
        <w:gridCol w:w="5528"/>
        <w:tblGridChange w:id="0">
          <w:tblGrid>
            <w:gridCol w:w="1062"/>
            <w:gridCol w:w="5528"/>
          </w:tblGrid>
        </w:tblGridChange>
      </w:tblGrid>
      <w:tr>
        <w:trPr>
          <w:cantSplit w:val="1"/>
          <w:tblHeader w:val="0"/>
        </w:trPr>
        <w:tc>
          <w:tcPr>
            <w:vAlign w:val="top"/>
          </w:tcPr>
          <w:p w:rsidR="00000000" w:rsidDel="00000000" w:rsidP="00000000" w:rsidRDefault="00000000" w:rsidRPr="00000000" w14:paraId="0000006E">
            <w:pPr>
              <w:keepNext w:val="1"/>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tc>
        <w:tc>
          <w:tcPr>
            <w:vAlign w:val="top"/>
          </w:tcPr>
          <w:p w:rsidR="00000000" w:rsidDel="00000000" w:rsidP="00000000" w:rsidRDefault="00000000" w:rsidRPr="00000000" w14:paraId="0000006F">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Юніт-тестування. Серіалізація даних. Підготовка до захисту.</w:t>
            </w:r>
          </w:p>
        </w:tc>
      </w:tr>
      <w:tr>
        <w:trPr>
          <w:cantSplit w:val="1"/>
          <w:tblHeader w:val="0"/>
        </w:trPr>
        <w:tc>
          <w:tcPr>
            <w:vAlign w:val="top"/>
          </w:tcPr>
          <w:p w:rsidR="00000000" w:rsidDel="00000000" w:rsidP="00000000" w:rsidRDefault="00000000" w:rsidRPr="00000000" w14:paraId="000000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tl w:val="0"/>
              </w:rPr>
            </w:r>
          </w:p>
        </w:tc>
        <w:tc>
          <w:tcPr>
            <w:vAlign w:val="top"/>
          </w:tcPr>
          <w:p w:rsidR="00000000" w:rsidDel="00000000" w:rsidP="00000000" w:rsidRDefault="00000000" w:rsidRPr="00000000" w14:paraId="00000071">
            <w:pPr>
              <w:keepNext w:val="1"/>
              <w:keepLines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збереження стану застосунку через серіалізацію (JSON/XML). Покрити критичні модулі юніт-тестами з використанням xUnit та Moq. Підготувати проєкт до захисту.</w:t>
            </w:r>
          </w:p>
        </w:tc>
      </w:tr>
      <w:tr>
        <w:trPr>
          <w:cantSplit w:val="1"/>
          <w:tblHeader w:val="0"/>
        </w:trPr>
        <w:tc>
          <w:tcPr>
            <w:vAlign w:val="top"/>
          </w:tcPr>
          <w:p w:rsidR="00000000" w:rsidDel="00000000" w:rsidP="00000000" w:rsidRDefault="00000000" w:rsidRPr="00000000" w14:paraId="00000072">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vAlign w:val="top"/>
          </w:tcPr>
          <w:p w:rsidR="00000000" w:rsidDel="00000000" w:rsidP="00000000" w:rsidRDefault="00000000" w:rsidRPr="00000000" w14:paraId="00000073">
            <w:pPr>
              <w:keepNext w:val="1"/>
              <w:keepLines w:val="1"/>
              <w:spacing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4">
      <w:pPr>
        <w:spacing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75">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Серіалізація – це процес перетворення стану об’єкта у формат, придатний для збереження або передавання (JSON, XML, бінарний). У платформі .NET для цього використовуються бібліотеки System.Text.Json, Newtonsoft.Json та System.Xml.Serialization. Юніт-тестування передбачає перевірку коректності окремих модулів коду в ізоляції; для його реалізації застосовуються фреймворки xUnit та NUnit, а для імітації залежностей – бібліотеки мокінгу, наприклад Moq. Підготовка до захисту включає рефакторинг коду, оформлення документації, демонстрацію роботи застосунку та обґрунтування обраних архітектурних рішень. Такий комплексний підхід підтверджує якість реалізації та готовність продукту до використання.</w:t>
      </w:r>
    </w:p>
    <w:p w:rsidR="00000000" w:rsidDel="00000000" w:rsidP="00000000" w:rsidRDefault="00000000" w:rsidRPr="00000000" w14:paraId="00000076">
      <w:pPr>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77">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Реалізація серіалізації та десеріалізації об’єктів у JSON і XML.</w:t>
      </w:r>
    </w:p>
    <w:p w:rsidR="00000000" w:rsidDel="00000000" w:rsidP="00000000" w:rsidRDefault="00000000" w:rsidRPr="00000000" w14:paraId="00000078">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Написання юніт-тестів з використанням xUnit.</w:t>
      </w:r>
    </w:p>
    <w:p w:rsidR="00000000" w:rsidDel="00000000" w:rsidP="00000000" w:rsidRDefault="00000000" w:rsidRPr="00000000" w14:paraId="00000079">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Застосування мокінгу залежностей з Moq.</w:t>
      </w:r>
    </w:p>
    <w:p w:rsidR="00000000" w:rsidDel="00000000" w:rsidP="00000000" w:rsidRDefault="00000000" w:rsidRPr="00000000" w14:paraId="0000007A">
      <w:pPr>
        <w:spacing w:line="276"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Оформлення документації та підготовка проєкту до захисту.</w:t>
      </w:r>
    </w:p>
    <w:sectPr>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tabs>
        <w:tab w:val="center" w:leader="none" w:pos="4819"/>
        <w:tab w:val="right" w:leader="none" w:pos="9639"/>
        <w:tab w:val="left" w:leader="none" w:pos="5387"/>
      </w:tabs>
      <w:spacing w:line="240" w:lineRule="auto"/>
      <w:rPr/>
    </w:pPr>
    <w:r w:rsidDel="00000000" w:rsidR="00000000" w:rsidRPr="00000000">
      <w:rPr>
        <w:rFonts w:ascii="Times New Roman" w:cs="Times New Roman" w:eastAsia="Times New Roman" w:hAnsi="Times New Roman"/>
        <w:sz w:val="28"/>
        <w:szCs w:val="28"/>
        <w:rtl w:val="0"/>
      </w:rPr>
      <w:t xml:space="preserve">Керівник ____ Теа К.-М.</w:t>
      <w:tab/>
      <w:tab/>
      <w:t xml:space="preserve">Студент ____ </w:t>
    </w:r>
    <w:r w:rsidDel="00000000" w:rsidR="00000000" w:rsidRPr="00000000">
      <w:rPr>
        <w:rFonts w:ascii="Times New Roman" w:cs="Times New Roman" w:eastAsia="Times New Roman" w:hAnsi="Times New Roman"/>
        <w:sz w:val="28"/>
        <w:szCs w:val="28"/>
        <w:rtl w:val="0"/>
      </w:rPr>
      <w:t xml:space="preserve">Ковальчук Є. М.</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Рівне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p0MGDA/vkfRc7QGctSuALwi4Q==">CgMxLjA4AHIhMWRoRGFhYjhZVmgyeGYzMjF0LVYzcU1rV3J1WVl1NUVn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