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62202" w14:textId="77777777" w:rsidR="00913828" w:rsidRPr="00472626" w:rsidRDefault="00246830">
      <w:pPr>
        <w:spacing w:after="60"/>
        <w:jc w:val="center"/>
        <w:rPr>
          <w:color w:val="000000" w:themeColor="text1"/>
        </w:rPr>
      </w:pPr>
      <w:r w:rsidRPr="00472626">
        <w:rPr>
          <w:b/>
          <w:bCs/>
          <w:color w:val="000000" w:themeColor="text1"/>
          <w:sz w:val="32"/>
          <w:szCs w:val="32"/>
        </w:rPr>
        <w:t>Cognitive Decline Risk Factors in U.S. Older Adults</w:t>
      </w:r>
    </w:p>
    <w:p w14:paraId="7F3354CE" w14:textId="63EAB41C" w:rsidR="00913828" w:rsidRDefault="00246830">
      <w:pPr>
        <w:spacing w:before="40" w:after="40"/>
        <w:jc w:val="center"/>
        <w:rPr>
          <w:color w:val="555555"/>
          <w:sz w:val="19"/>
          <w:szCs w:val="19"/>
        </w:rPr>
      </w:pPr>
      <w:r>
        <w:rPr>
          <w:color w:val="555555"/>
          <w:sz w:val="19"/>
          <w:szCs w:val="19"/>
        </w:rPr>
        <w:t xml:space="preserve">Progress </w:t>
      </w:r>
      <w:proofErr w:type="gramStart"/>
      <w:r>
        <w:rPr>
          <w:color w:val="555555"/>
          <w:sz w:val="19"/>
          <w:szCs w:val="19"/>
        </w:rPr>
        <w:t>Report  |</w:t>
      </w:r>
      <w:proofErr w:type="gramEnd"/>
      <w:r>
        <w:rPr>
          <w:color w:val="555555"/>
          <w:sz w:val="19"/>
          <w:szCs w:val="19"/>
        </w:rPr>
        <w:t xml:space="preserve">  DATA 205 Capstone  |  Spring 202</w:t>
      </w:r>
      <w:r w:rsidR="00472626">
        <w:rPr>
          <w:color w:val="555555"/>
          <w:sz w:val="19"/>
          <w:szCs w:val="19"/>
        </w:rPr>
        <w:t>6</w:t>
      </w:r>
      <w:r>
        <w:rPr>
          <w:color w:val="555555"/>
          <w:sz w:val="19"/>
          <w:szCs w:val="19"/>
        </w:rPr>
        <w:t xml:space="preserve"> |  Prof. </w:t>
      </w:r>
      <w:proofErr w:type="spellStart"/>
      <w:r>
        <w:rPr>
          <w:color w:val="555555"/>
          <w:sz w:val="19"/>
          <w:szCs w:val="19"/>
        </w:rPr>
        <w:t>Perine</w:t>
      </w:r>
      <w:proofErr w:type="spellEnd"/>
      <w:r>
        <w:rPr>
          <w:color w:val="555555"/>
          <w:sz w:val="19"/>
          <w:szCs w:val="19"/>
        </w:rPr>
        <w:t xml:space="preserve">  |  Zivar Murphy</w:t>
      </w:r>
    </w:p>
    <w:p w14:paraId="3AE63B18" w14:textId="77777777" w:rsidR="00472626" w:rsidRDefault="00472626">
      <w:pPr>
        <w:spacing w:before="40" w:after="40"/>
        <w:jc w:val="center"/>
      </w:pPr>
    </w:p>
    <w:p w14:paraId="4433EFBD" w14:textId="1780F862" w:rsidR="00246830" w:rsidRPr="00246830" w:rsidRDefault="00246830" w:rsidP="00246830">
      <w:pPr>
        <w:pStyle w:val="Style1"/>
        <w:rPr>
          <w:sz w:val="28"/>
          <w:szCs w:val="28"/>
        </w:rPr>
      </w:pPr>
      <w:r w:rsidRPr="00472626">
        <w:rPr>
          <w:sz w:val="28"/>
          <w:szCs w:val="28"/>
        </w:rPr>
        <w:t>1.  Introduction and Project Overview</w:t>
      </w:r>
    </w:p>
    <w:p w14:paraId="4C11CFD5" w14:textId="226A9E84" w:rsidR="00913828" w:rsidRPr="009A025C" w:rsidRDefault="00246830" w:rsidP="00246830">
      <w:pPr>
        <w:spacing w:after="70"/>
        <w:rPr>
          <w:color w:val="000000" w:themeColor="text1"/>
          <w:sz w:val="24"/>
          <w:szCs w:val="24"/>
        </w:rPr>
      </w:pPr>
      <w:r w:rsidRPr="009A025C">
        <w:rPr>
          <w:color w:val="000000" w:themeColor="text1"/>
          <w:sz w:val="24"/>
          <w:szCs w:val="24"/>
        </w:rPr>
        <w:t>The goal of this project is to explore which health, behavioral, and socioeconomic factors are most strongly associated with cognitive decline (memory loss) among older adults across U.S. states. Cognitive decline and Alzheimer’s disease are among the most significant public health challenges in the United States. This project covers adults aged 45+ across all 50 states and D.C. from 2015 to 2022.</w:t>
      </w:r>
    </w:p>
    <w:p w14:paraId="625F004F" w14:textId="77777777" w:rsidR="00913828" w:rsidRPr="00472626" w:rsidRDefault="00913828" w:rsidP="00246830">
      <w:pPr>
        <w:spacing w:after="25"/>
        <w:rPr>
          <w:color w:val="000000" w:themeColor="text1"/>
        </w:rPr>
      </w:pPr>
    </w:p>
    <w:p w14:paraId="27483F83" w14:textId="19B94E2C" w:rsidR="00246830" w:rsidRDefault="00246830" w:rsidP="00246830">
      <w:pPr>
        <w:pStyle w:val="Heading2"/>
        <w:spacing w:after="40"/>
        <w:rPr>
          <w:b/>
          <w:bCs/>
          <w:color w:val="000000" w:themeColor="text1"/>
          <w:sz w:val="23"/>
          <w:szCs w:val="23"/>
        </w:rPr>
      </w:pPr>
      <w:r w:rsidRPr="00472626">
        <w:rPr>
          <w:b/>
          <w:bCs/>
          <w:color w:val="000000" w:themeColor="text1"/>
          <w:sz w:val="23"/>
          <w:szCs w:val="23"/>
        </w:rPr>
        <w:t>Research Questions</w:t>
      </w:r>
    </w:p>
    <w:tbl>
      <w:tblPr>
        <w:tblStyle w:val="GridTable1Light-Accent3"/>
        <w:tblW w:w="9360" w:type="dxa"/>
        <w:tblLook w:val="04A0" w:firstRow="1" w:lastRow="0" w:firstColumn="1" w:lastColumn="0" w:noHBand="0" w:noVBand="1"/>
      </w:tblPr>
      <w:tblGrid>
        <w:gridCol w:w="900"/>
        <w:gridCol w:w="8460"/>
      </w:tblGrid>
      <w:tr w:rsidR="00472626" w:rsidRPr="00472626" w14:paraId="54993836" w14:textId="77777777" w:rsidTr="00472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F237508" w14:textId="77777777" w:rsidR="00913828" w:rsidRPr="00472626" w:rsidRDefault="00246830" w:rsidP="00246830">
            <w:pPr>
              <w:rPr>
                <w:color w:val="000000" w:themeColor="text1"/>
              </w:rPr>
            </w:pPr>
            <w:r w:rsidRPr="00472626">
              <w:rPr>
                <w:color w:val="000000" w:themeColor="text1"/>
                <w:sz w:val="19"/>
                <w:szCs w:val="19"/>
              </w:rPr>
              <w:t>RQ</w:t>
            </w:r>
          </w:p>
        </w:tc>
        <w:tc>
          <w:tcPr>
            <w:tcW w:w="8460" w:type="dxa"/>
          </w:tcPr>
          <w:p w14:paraId="0E4DAAAC" w14:textId="77777777" w:rsidR="00913828" w:rsidRPr="00472626" w:rsidRDefault="00246830" w:rsidP="00246830">
            <w:pPr>
              <w:cnfStyle w:val="100000000000" w:firstRow="1"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Question</w:t>
            </w:r>
          </w:p>
        </w:tc>
      </w:tr>
      <w:tr w:rsidR="00472626" w:rsidRPr="00472626" w14:paraId="02DDED45"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150E6482" w14:textId="77777777" w:rsidR="00913828" w:rsidRPr="00472626" w:rsidRDefault="00246830" w:rsidP="00246830">
            <w:pPr>
              <w:rPr>
                <w:color w:val="000000" w:themeColor="text1"/>
              </w:rPr>
            </w:pPr>
            <w:r w:rsidRPr="00472626">
              <w:rPr>
                <w:color w:val="000000" w:themeColor="text1"/>
                <w:sz w:val="19"/>
                <w:szCs w:val="19"/>
              </w:rPr>
              <w:t>RQ1</w:t>
            </w:r>
          </w:p>
        </w:tc>
        <w:tc>
          <w:tcPr>
            <w:tcW w:w="8460" w:type="dxa"/>
          </w:tcPr>
          <w:p w14:paraId="6432907D"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Which states have the highest and lowest cognitive decline rates?</w:t>
            </w:r>
          </w:p>
        </w:tc>
      </w:tr>
      <w:tr w:rsidR="00472626" w:rsidRPr="00472626" w14:paraId="1442528D"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16E42C16" w14:textId="77777777" w:rsidR="00913828" w:rsidRPr="00472626" w:rsidRDefault="00246830" w:rsidP="00246830">
            <w:pPr>
              <w:rPr>
                <w:color w:val="000000" w:themeColor="text1"/>
              </w:rPr>
            </w:pPr>
            <w:r w:rsidRPr="00472626">
              <w:rPr>
                <w:color w:val="000000" w:themeColor="text1"/>
                <w:sz w:val="19"/>
                <w:szCs w:val="19"/>
              </w:rPr>
              <w:t>RQ2</w:t>
            </w:r>
          </w:p>
        </w:tc>
        <w:tc>
          <w:tcPr>
            <w:tcW w:w="8460" w:type="dxa"/>
          </w:tcPr>
          <w:p w14:paraId="4A7C0E6D"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Is there a relationship between depression and cognitive decline?</w:t>
            </w:r>
          </w:p>
        </w:tc>
      </w:tr>
      <w:tr w:rsidR="00472626" w:rsidRPr="00472626" w14:paraId="3E32EA46"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4F65B4BA" w14:textId="77777777" w:rsidR="00913828" w:rsidRPr="00472626" w:rsidRDefault="00246830" w:rsidP="00246830">
            <w:pPr>
              <w:rPr>
                <w:color w:val="000000" w:themeColor="text1"/>
              </w:rPr>
            </w:pPr>
            <w:r w:rsidRPr="00472626">
              <w:rPr>
                <w:color w:val="000000" w:themeColor="text1"/>
                <w:sz w:val="19"/>
                <w:szCs w:val="19"/>
              </w:rPr>
              <w:t>RQ3</w:t>
            </w:r>
          </w:p>
        </w:tc>
        <w:tc>
          <w:tcPr>
            <w:tcW w:w="8460" w:type="dxa"/>
          </w:tcPr>
          <w:p w14:paraId="0BD324AE"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Does physical inactivity correlate with cognitive decline?</w:t>
            </w:r>
          </w:p>
        </w:tc>
      </w:tr>
      <w:tr w:rsidR="00472626" w:rsidRPr="00472626" w14:paraId="75162B36"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425248B6" w14:textId="77777777" w:rsidR="00913828" w:rsidRPr="00472626" w:rsidRDefault="00246830" w:rsidP="00246830">
            <w:pPr>
              <w:rPr>
                <w:color w:val="000000" w:themeColor="text1"/>
              </w:rPr>
            </w:pPr>
            <w:r w:rsidRPr="00472626">
              <w:rPr>
                <w:color w:val="000000" w:themeColor="text1"/>
                <w:sz w:val="19"/>
                <w:szCs w:val="19"/>
              </w:rPr>
              <w:t>RQ4</w:t>
            </w:r>
          </w:p>
        </w:tc>
        <w:tc>
          <w:tcPr>
            <w:tcW w:w="8460" w:type="dxa"/>
          </w:tcPr>
          <w:p w14:paraId="69BC3A51"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How does poor self-reported health relate to cognitive decline?</w:t>
            </w:r>
          </w:p>
        </w:tc>
      </w:tr>
      <w:tr w:rsidR="00472626" w:rsidRPr="00472626" w14:paraId="6EC86381"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6E84A522" w14:textId="77777777" w:rsidR="00913828" w:rsidRPr="00472626" w:rsidRDefault="00246830" w:rsidP="00246830">
            <w:pPr>
              <w:rPr>
                <w:color w:val="000000" w:themeColor="text1"/>
              </w:rPr>
            </w:pPr>
            <w:r w:rsidRPr="00472626">
              <w:rPr>
                <w:color w:val="000000" w:themeColor="text1"/>
                <w:sz w:val="19"/>
                <w:szCs w:val="19"/>
              </w:rPr>
              <w:t>RQ5</w:t>
            </w:r>
          </w:p>
        </w:tc>
        <w:tc>
          <w:tcPr>
            <w:tcW w:w="8460" w:type="dxa"/>
          </w:tcPr>
          <w:p w14:paraId="71C0068E"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Is cognitive decline associated with disability rates?</w:t>
            </w:r>
          </w:p>
        </w:tc>
      </w:tr>
      <w:tr w:rsidR="00472626" w:rsidRPr="00472626" w14:paraId="732830D4"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189E37B0" w14:textId="77777777" w:rsidR="00913828" w:rsidRPr="00472626" w:rsidRDefault="00246830" w:rsidP="00246830">
            <w:pPr>
              <w:rPr>
                <w:color w:val="000000" w:themeColor="text1"/>
              </w:rPr>
            </w:pPr>
            <w:r w:rsidRPr="00472626">
              <w:rPr>
                <w:color w:val="000000" w:themeColor="text1"/>
                <w:sz w:val="19"/>
                <w:szCs w:val="19"/>
              </w:rPr>
              <w:t>RQ6</w:t>
            </w:r>
          </w:p>
        </w:tc>
        <w:tc>
          <w:tcPr>
            <w:tcW w:w="8460" w:type="dxa"/>
          </w:tcPr>
          <w:p w14:paraId="08CB1D1A"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Does median household income relate to cognitive decline across states?</w:t>
            </w:r>
          </w:p>
        </w:tc>
      </w:tr>
      <w:tr w:rsidR="00472626" w:rsidRPr="00472626" w14:paraId="064F7D6F"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67E632AB" w14:textId="77777777" w:rsidR="00913828" w:rsidRPr="00472626" w:rsidRDefault="00246830" w:rsidP="00246830">
            <w:pPr>
              <w:rPr>
                <w:color w:val="000000" w:themeColor="text1"/>
              </w:rPr>
            </w:pPr>
            <w:r w:rsidRPr="00472626">
              <w:rPr>
                <w:color w:val="000000" w:themeColor="text1"/>
                <w:sz w:val="19"/>
                <w:szCs w:val="19"/>
              </w:rPr>
              <w:t>RQ7</w:t>
            </w:r>
          </w:p>
        </w:tc>
        <w:tc>
          <w:tcPr>
            <w:tcW w:w="8460" w:type="dxa"/>
          </w:tcPr>
          <w:p w14:paraId="0532BB7E"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Does higher educational attainment reduce cognitive decline?</w:t>
            </w:r>
          </w:p>
        </w:tc>
      </w:tr>
      <w:tr w:rsidR="00472626" w:rsidRPr="00472626" w14:paraId="69AC4E65"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328BC8B1" w14:textId="77777777" w:rsidR="00913828" w:rsidRPr="00472626" w:rsidRDefault="00246830" w:rsidP="00246830">
            <w:pPr>
              <w:rPr>
                <w:color w:val="000000" w:themeColor="text1"/>
              </w:rPr>
            </w:pPr>
            <w:r w:rsidRPr="00472626">
              <w:rPr>
                <w:color w:val="000000" w:themeColor="text1"/>
                <w:sz w:val="19"/>
                <w:szCs w:val="19"/>
              </w:rPr>
              <w:t>RQ8</w:t>
            </w:r>
          </w:p>
        </w:tc>
        <w:tc>
          <w:tcPr>
            <w:tcW w:w="8460" w:type="dxa"/>
          </w:tcPr>
          <w:p w14:paraId="379EFF13"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Do cognitive decline rates differ between the 50–64 and 65+ age groups?</w:t>
            </w:r>
          </w:p>
        </w:tc>
      </w:tr>
      <w:tr w:rsidR="00472626" w:rsidRPr="00472626" w14:paraId="59EAA470"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1248785F" w14:textId="77777777" w:rsidR="00913828" w:rsidRPr="00472626" w:rsidRDefault="00246830" w:rsidP="00246830">
            <w:pPr>
              <w:rPr>
                <w:color w:val="000000" w:themeColor="text1"/>
              </w:rPr>
            </w:pPr>
            <w:r w:rsidRPr="00472626">
              <w:rPr>
                <w:color w:val="000000" w:themeColor="text1"/>
                <w:sz w:val="19"/>
                <w:szCs w:val="19"/>
              </w:rPr>
              <w:t>RQ9</w:t>
            </w:r>
          </w:p>
        </w:tc>
        <w:tc>
          <w:tcPr>
            <w:tcW w:w="8460" w:type="dxa"/>
          </w:tcPr>
          <w:p w14:paraId="013E9BC6"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Are early-stage memory complaints linked to severe cognitive decline?</w:t>
            </w:r>
          </w:p>
        </w:tc>
      </w:tr>
      <w:tr w:rsidR="00472626" w:rsidRPr="00472626" w14:paraId="5ACE04E0" w14:textId="77777777" w:rsidTr="00472626">
        <w:tc>
          <w:tcPr>
            <w:cnfStyle w:val="001000000000" w:firstRow="0" w:lastRow="0" w:firstColumn="1" w:lastColumn="0" w:oddVBand="0" w:evenVBand="0" w:oddHBand="0" w:evenHBand="0" w:firstRowFirstColumn="0" w:firstRowLastColumn="0" w:lastRowFirstColumn="0" w:lastRowLastColumn="0"/>
            <w:tcW w:w="900" w:type="dxa"/>
          </w:tcPr>
          <w:p w14:paraId="19B34EA8" w14:textId="77777777" w:rsidR="00913828" w:rsidRPr="00472626" w:rsidRDefault="00246830" w:rsidP="00246830">
            <w:pPr>
              <w:rPr>
                <w:color w:val="000000" w:themeColor="text1"/>
              </w:rPr>
            </w:pPr>
            <w:r w:rsidRPr="00472626">
              <w:rPr>
                <w:color w:val="000000" w:themeColor="text1"/>
                <w:sz w:val="19"/>
                <w:szCs w:val="19"/>
              </w:rPr>
              <w:t>RQ10</w:t>
            </w:r>
          </w:p>
        </w:tc>
        <w:tc>
          <w:tcPr>
            <w:tcW w:w="8460" w:type="dxa"/>
          </w:tcPr>
          <w:p w14:paraId="0EDD4C8A"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Which combination of variables best predicts cognitive decline?</w:t>
            </w:r>
          </w:p>
        </w:tc>
      </w:tr>
    </w:tbl>
    <w:p w14:paraId="2C9DEECD" w14:textId="77777777" w:rsidR="00913828" w:rsidRPr="00472626" w:rsidRDefault="00913828" w:rsidP="00246830">
      <w:pPr>
        <w:spacing w:after="25"/>
        <w:rPr>
          <w:color w:val="000000" w:themeColor="text1"/>
        </w:rPr>
      </w:pPr>
    </w:p>
    <w:p w14:paraId="41DEF7C1"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Goals and Tools</w:t>
      </w:r>
    </w:p>
    <w:p w14:paraId="21D37351" w14:textId="77777777" w:rsidR="00913828" w:rsidRPr="00472626" w:rsidRDefault="00246830" w:rsidP="00246830">
      <w:pPr>
        <w:spacing w:after="70"/>
        <w:rPr>
          <w:color w:val="000000" w:themeColor="text1"/>
        </w:rPr>
      </w:pPr>
      <w:r w:rsidRPr="00472626">
        <w:rPr>
          <w:color w:val="000000" w:themeColor="text1"/>
        </w:rPr>
        <w:t xml:space="preserve">Goal: identify which factors best predict state-level cognitive decline and provide policy-relevant insights. Tools: Python (Pandas, Matplotlib, Seaborn, Scikit-learn), </w:t>
      </w:r>
      <w:proofErr w:type="spellStart"/>
      <w:r w:rsidRPr="00472626">
        <w:rPr>
          <w:color w:val="000000" w:themeColor="text1"/>
        </w:rPr>
        <w:t>Jupyter</w:t>
      </w:r>
      <w:proofErr w:type="spellEnd"/>
      <w:r w:rsidRPr="00472626">
        <w:rPr>
          <w:color w:val="000000" w:themeColor="text1"/>
        </w:rPr>
        <w:t xml:space="preserve"> Notebook, GitHub. Both datasets are loaded via live APIs for reproducibility. Code: github.com/</w:t>
      </w:r>
      <w:proofErr w:type="spellStart"/>
      <w:r w:rsidRPr="00472626">
        <w:rPr>
          <w:color w:val="000000" w:themeColor="text1"/>
        </w:rPr>
        <w:t>ZeeMurphy</w:t>
      </w:r>
      <w:proofErr w:type="spellEnd"/>
      <w:r w:rsidRPr="00472626">
        <w:rPr>
          <w:color w:val="000000" w:themeColor="text1"/>
        </w:rPr>
        <w:t>/Data_205_Capstone_Project.</w:t>
      </w:r>
    </w:p>
    <w:p w14:paraId="47FBB9DA" w14:textId="77777777" w:rsidR="00913828" w:rsidRPr="00472626" w:rsidRDefault="00913828" w:rsidP="00246830">
      <w:pPr>
        <w:spacing w:after="25"/>
        <w:rPr>
          <w:color w:val="000000" w:themeColor="text1"/>
        </w:rPr>
      </w:pPr>
    </w:p>
    <w:p w14:paraId="1F15A85B" w14:textId="77777777" w:rsidR="00913828" w:rsidRPr="00472626" w:rsidRDefault="00246830" w:rsidP="00246830">
      <w:pPr>
        <w:pStyle w:val="Style1"/>
        <w:rPr>
          <w:sz w:val="28"/>
          <w:szCs w:val="28"/>
        </w:rPr>
      </w:pPr>
      <w:r w:rsidRPr="00472626">
        <w:rPr>
          <w:sz w:val="28"/>
          <w:szCs w:val="28"/>
        </w:rPr>
        <w:t>2.  Data</w:t>
      </w:r>
    </w:p>
    <w:p w14:paraId="1CE85B77" w14:textId="1C0D5E2F" w:rsidR="00913828" w:rsidRPr="00472626" w:rsidRDefault="00246830" w:rsidP="00246830">
      <w:pPr>
        <w:pStyle w:val="Heading2"/>
        <w:spacing w:after="40"/>
        <w:rPr>
          <w:color w:val="000000" w:themeColor="text1"/>
        </w:rPr>
      </w:pPr>
      <w:r w:rsidRPr="00472626">
        <w:rPr>
          <w:b/>
          <w:bCs/>
          <w:color w:val="000000" w:themeColor="text1"/>
          <w:sz w:val="23"/>
          <w:szCs w:val="23"/>
        </w:rPr>
        <w:t>Primary Dataset</w:t>
      </w:r>
      <w:r w:rsidR="000E7D3F" w:rsidRPr="00472626">
        <w:rPr>
          <w:b/>
          <w:bCs/>
          <w:color w:val="000000" w:themeColor="text1"/>
          <w:sz w:val="23"/>
          <w:szCs w:val="23"/>
        </w:rPr>
        <w:t xml:space="preserve">: </w:t>
      </w:r>
      <w:r w:rsidRPr="00472626">
        <w:rPr>
          <w:b/>
          <w:bCs/>
          <w:color w:val="000000" w:themeColor="text1"/>
          <w:sz w:val="23"/>
          <w:szCs w:val="23"/>
        </w:rPr>
        <w:t>CDC BRFSS</w:t>
      </w:r>
    </w:p>
    <w:p w14:paraId="1909A4BF" w14:textId="51593C35" w:rsidR="00913828" w:rsidRPr="00472626" w:rsidRDefault="00246830" w:rsidP="00246830">
      <w:pPr>
        <w:spacing w:after="70"/>
        <w:rPr>
          <w:color w:val="000000" w:themeColor="text1"/>
        </w:rPr>
      </w:pPr>
      <w:r w:rsidRPr="00472626">
        <w:rPr>
          <w:color w:val="000000" w:themeColor="text1"/>
        </w:rPr>
        <w:t>The CDC BRFSS “Alzheimer’s Disease and Healthy Aging Data” (2015–2022) has 284,142 rows and 31 columns. Each row is one aggregated survey answer for one question, one location, one year, and one demographic subgroup</w:t>
      </w:r>
      <w:r w:rsidR="000E7D3F" w:rsidRPr="00472626">
        <w:rPr>
          <w:color w:val="000000" w:themeColor="text1"/>
        </w:rPr>
        <w:t xml:space="preserve">, </w:t>
      </w:r>
      <w:r w:rsidRPr="00472626">
        <w:rPr>
          <w:color w:val="000000" w:themeColor="text1"/>
        </w:rPr>
        <w:t>not one person. Loaded live via CDC SODA2 API. Source: data.cdc.gov/Healthy-Aging/hfr9-rurv.</w:t>
      </w:r>
    </w:p>
    <w:p w14:paraId="2201F5ED" w14:textId="0EF3D63A" w:rsidR="00913828" w:rsidRPr="00472626" w:rsidRDefault="000E7D3F" w:rsidP="00246830">
      <w:pPr>
        <w:pStyle w:val="Heading2"/>
        <w:spacing w:after="40"/>
        <w:rPr>
          <w:color w:val="000000" w:themeColor="text1"/>
        </w:rPr>
      </w:pPr>
      <w:r w:rsidRPr="00472626">
        <w:rPr>
          <w:b/>
          <w:bCs/>
          <w:color w:val="000000" w:themeColor="text1"/>
          <w:sz w:val="23"/>
          <w:szCs w:val="23"/>
        </w:rPr>
        <w:t xml:space="preserve">Complimentary </w:t>
      </w:r>
      <w:r w:rsidR="00246830" w:rsidRPr="00472626">
        <w:rPr>
          <w:b/>
          <w:bCs/>
          <w:color w:val="000000" w:themeColor="text1"/>
          <w:sz w:val="23"/>
          <w:szCs w:val="23"/>
        </w:rPr>
        <w:t>Dataset</w:t>
      </w:r>
      <w:r w:rsidRPr="00472626">
        <w:rPr>
          <w:b/>
          <w:bCs/>
          <w:color w:val="000000" w:themeColor="text1"/>
          <w:sz w:val="23"/>
          <w:szCs w:val="23"/>
        </w:rPr>
        <w:t xml:space="preserve">: </w:t>
      </w:r>
      <w:r w:rsidR="00246830" w:rsidRPr="00472626">
        <w:rPr>
          <w:b/>
          <w:bCs/>
          <w:color w:val="000000" w:themeColor="text1"/>
          <w:sz w:val="23"/>
          <w:szCs w:val="23"/>
        </w:rPr>
        <w:t>U.S. Census ACS</w:t>
      </w:r>
    </w:p>
    <w:p w14:paraId="404443F6" w14:textId="5F51336B" w:rsidR="00913828" w:rsidRPr="00472626" w:rsidRDefault="00246830" w:rsidP="00246830">
      <w:pPr>
        <w:spacing w:after="70"/>
        <w:rPr>
          <w:color w:val="000000" w:themeColor="text1"/>
        </w:rPr>
      </w:pPr>
      <w:r w:rsidRPr="00472626">
        <w:rPr>
          <w:color w:val="000000" w:themeColor="text1"/>
        </w:rPr>
        <w:t xml:space="preserve">ACS 2018–2022 5-year estimates pulled via the Census </w:t>
      </w:r>
      <w:r>
        <w:rPr>
          <w:color w:val="000000" w:themeColor="text1"/>
        </w:rPr>
        <w:t>Bureau's</w:t>
      </w:r>
      <w:r w:rsidRPr="00472626">
        <w:rPr>
          <w:color w:val="000000" w:themeColor="text1"/>
        </w:rPr>
        <w:t xml:space="preserve"> free API. Variables: median household income (DP03_0062E) and % adults 25+ with bachelor’s degree+ (DP02_0068PE). Merged with CDC data on state abbreviation. Data pairing type: contextual. Source: api.census.gov/data/2022/</w:t>
      </w:r>
      <w:proofErr w:type="spellStart"/>
      <w:r w:rsidRPr="00472626">
        <w:rPr>
          <w:color w:val="000000" w:themeColor="text1"/>
        </w:rPr>
        <w:t>acs</w:t>
      </w:r>
      <w:proofErr w:type="spellEnd"/>
      <w:r w:rsidRPr="00472626">
        <w:rPr>
          <w:color w:val="000000" w:themeColor="text1"/>
        </w:rPr>
        <w:t>/acs5/profile.</w:t>
      </w:r>
    </w:p>
    <w:p w14:paraId="15F01D6B"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Data Cleaning Highlights</w:t>
      </w:r>
    </w:p>
    <w:p w14:paraId="37A55EAC" w14:textId="77777777" w:rsidR="00913828" w:rsidRPr="00472626" w:rsidRDefault="00246830" w:rsidP="00246830">
      <w:pPr>
        <w:pStyle w:val="ListParagraph"/>
        <w:numPr>
          <w:ilvl w:val="0"/>
          <w:numId w:val="2"/>
        </w:numPr>
        <w:spacing w:after="12"/>
        <w:rPr>
          <w:color w:val="000000" w:themeColor="text1"/>
        </w:rPr>
      </w:pPr>
      <w:r w:rsidRPr="00472626">
        <w:rPr>
          <w:color w:val="000000" w:themeColor="text1"/>
        </w:rPr>
        <w:t xml:space="preserve">Replaced blank/NA/N∕A with pd.NA; converted </w:t>
      </w:r>
      <w:proofErr w:type="spellStart"/>
      <w:r w:rsidRPr="00472626">
        <w:rPr>
          <w:color w:val="000000" w:themeColor="text1"/>
        </w:rPr>
        <w:t>Data_Value</w:t>
      </w:r>
      <w:proofErr w:type="spellEnd"/>
      <w:r w:rsidRPr="00472626">
        <w:rPr>
          <w:color w:val="000000" w:themeColor="text1"/>
        </w:rPr>
        <w:t xml:space="preserve"> and </w:t>
      </w:r>
      <w:proofErr w:type="spellStart"/>
      <w:r w:rsidRPr="00472626">
        <w:rPr>
          <w:color w:val="000000" w:themeColor="text1"/>
        </w:rPr>
        <w:t>YearStart</w:t>
      </w:r>
      <w:proofErr w:type="spellEnd"/>
      <w:r w:rsidRPr="00472626">
        <w:rPr>
          <w:color w:val="000000" w:themeColor="text1"/>
        </w:rPr>
        <w:t xml:space="preserve"> to numeric (API returns text)</w:t>
      </w:r>
    </w:p>
    <w:p w14:paraId="5E2DCD4A" w14:textId="77777777" w:rsidR="00913828" w:rsidRPr="00472626" w:rsidRDefault="00246830" w:rsidP="00246830">
      <w:pPr>
        <w:pStyle w:val="ListParagraph"/>
        <w:numPr>
          <w:ilvl w:val="0"/>
          <w:numId w:val="2"/>
        </w:numPr>
        <w:spacing w:after="12"/>
        <w:rPr>
          <w:color w:val="000000" w:themeColor="text1"/>
        </w:rPr>
      </w:pPr>
      <w:r w:rsidRPr="00472626">
        <w:rPr>
          <w:color w:val="000000" w:themeColor="text1"/>
        </w:rPr>
        <w:t>Removed rows missing target or year: 284,142 → 192,808 rows</w:t>
      </w:r>
    </w:p>
    <w:p w14:paraId="1E2983CD" w14:textId="7EFA4836" w:rsidR="00913828" w:rsidRPr="00472626" w:rsidRDefault="00246830" w:rsidP="00246830">
      <w:pPr>
        <w:pStyle w:val="ListParagraph"/>
        <w:numPr>
          <w:ilvl w:val="0"/>
          <w:numId w:val="2"/>
        </w:numPr>
        <w:spacing w:after="12"/>
        <w:rPr>
          <w:color w:val="000000" w:themeColor="text1"/>
        </w:rPr>
      </w:pPr>
      <w:r w:rsidRPr="00472626">
        <w:rPr>
          <w:color w:val="000000" w:themeColor="text1"/>
        </w:rPr>
        <w:t>Filtered to 51 U.S. states + DC only. Dataset has 59 locations</w:t>
      </w:r>
      <w:r w:rsidR="000E7D3F" w:rsidRPr="00472626">
        <w:rPr>
          <w:color w:val="000000" w:themeColor="text1"/>
        </w:rPr>
        <w:t>,</w:t>
      </w:r>
      <w:r w:rsidRPr="00472626">
        <w:rPr>
          <w:color w:val="000000" w:themeColor="text1"/>
        </w:rPr>
        <w:t xml:space="preserve"> including territories (PR, GU, VI excluded because not states; Puerto Rico has 60</w:t>
      </w:r>
      <w:r w:rsidR="000E7D3F" w:rsidRPr="00472626">
        <w:rPr>
          <w:color w:val="000000" w:themeColor="text1"/>
        </w:rPr>
        <w:t>-</w:t>
      </w:r>
      <w:r w:rsidRPr="00472626">
        <w:rPr>
          <w:color w:val="000000" w:themeColor="text1"/>
        </w:rPr>
        <w:t xml:space="preserve">75% SCD rate that would distort analysis) and regional rollups (Midwest, South, NE, </w:t>
      </w:r>
      <w:proofErr w:type="gramStart"/>
      <w:r w:rsidRPr="00472626">
        <w:rPr>
          <w:color w:val="000000" w:themeColor="text1"/>
        </w:rPr>
        <w:t>West</w:t>
      </w:r>
      <w:r w:rsidR="000E7D3F" w:rsidRPr="00472626">
        <w:rPr>
          <w:color w:val="000000" w:themeColor="text1"/>
        </w:rPr>
        <w:t xml:space="preserve">, </w:t>
      </w:r>
      <w:r w:rsidRPr="00472626">
        <w:rPr>
          <w:color w:val="000000" w:themeColor="text1"/>
        </w:rPr>
        <w:t xml:space="preserve"> excluded</w:t>
      </w:r>
      <w:proofErr w:type="gramEnd"/>
      <w:r w:rsidRPr="00472626">
        <w:rPr>
          <w:color w:val="000000" w:themeColor="text1"/>
        </w:rPr>
        <w:t xml:space="preserve"> to avoid double-counting)</w:t>
      </w:r>
    </w:p>
    <w:p w14:paraId="39B202E0" w14:textId="3D84D171" w:rsidR="00913828" w:rsidRPr="00472626" w:rsidRDefault="00246830" w:rsidP="00246830">
      <w:pPr>
        <w:pStyle w:val="ListParagraph"/>
        <w:numPr>
          <w:ilvl w:val="0"/>
          <w:numId w:val="2"/>
        </w:numPr>
        <w:spacing w:after="12"/>
        <w:rPr>
          <w:color w:val="000000" w:themeColor="text1"/>
        </w:rPr>
      </w:pPr>
      <w:r w:rsidRPr="00472626">
        <w:rPr>
          <w:color w:val="000000" w:themeColor="text1"/>
        </w:rPr>
        <w:t>Filtered to ‘Overall’ stratification only to avoid counting each state three times per year</w:t>
      </w:r>
      <w:r w:rsidR="000E7D3F" w:rsidRPr="00472626">
        <w:rPr>
          <w:color w:val="000000" w:themeColor="text1"/>
        </w:rPr>
        <w:t xml:space="preserve"> (originally: 45-65, 65+, Overall)</w:t>
      </w:r>
    </w:p>
    <w:p w14:paraId="7D251613" w14:textId="2B63AD59" w:rsidR="00913828" w:rsidRPr="00472626" w:rsidRDefault="00246830" w:rsidP="00246830">
      <w:pPr>
        <w:pStyle w:val="ListParagraph"/>
        <w:numPr>
          <w:ilvl w:val="0"/>
          <w:numId w:val="2"/>
        </w:numPr>
        <w:spacing w:after="12"/>
        <w:rPr>
          <w:color w:val="000000" w:themeColor="text1"/>
        </w:rPr>
      </w:pPr>
      <w:r w:rsidRPr="00472626">
        <w:rPr>
          <w:color w:val="000000" w:themeColor="text1"/>
        </w:rPr>
        <w:t>Pivoted long → wide: 284,142 rows → 406 state-year rows. After dropping rows missing the cognitive decline target (optional BRFSS module, 57% missing), 173 usable rows remain.</w:t>
      </w:r>
      <w:r w:rsidR="000E7D3F" w:rsidRPr="00472626">
        <w:rPr>
          <w:color w:val="000000" w:themeColor="text1"/>
        </w:rPr>
        <w:t xml:space="preserve"> </w:t>
      </w:r>
    </w:p>
    <w:p w14:paraId="12CCDAC7"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Descriptive Statistics</w:t>
      </w:r>
    </w:p>
    <w:tbl>
      <w:tblPr>
        <w:tblStyle w:val="GridTable1Light-Accent3"/>
        <w:tblW w:w="9360" w:type="dxa"/>
        <w:tblLook w:val="04A0" w:firstRow="1" w:lastRow="0" w:firstColumn="1" w:lastColumn="0" w:noHBand="0" w:noVBand="1"/>
      </w:tblPr>
      <w:tblGrid>
        <w:gridCol w:w="3400"/>
        <w:gridCol w:w="1490"/>
        <w:gridCol w:w="1490"/>
        <w:gridCol w:w="1490"/>
        <w:gridCol w:w="1490"/>
      </w:tblGrid>
      <w:tr w:rsidR="00472626" w:rsidRPr="00472626" w14:paraId="32E30B37" w14:textId="77777777" w:rsidTr="00246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7F1D224" w14:textId="77777777" w:rsidR="00913828" w:rsidRPr="00472626" w:rsidRDefault="00246830" w:rsidP="00246830">
            <w:pPr>
              <w:rPr>
                <w:color w:val="000000" w:themeColor="text1"/>
              </w:rPr>
            </w:pPr>
            <w:r w:rsidRPr="00472626">
              <w:rPr>
                <w:color w:val="000000" w:themeColor="text1"/>
                <w:sz w:val="19"/>
                <w:szCs w:val="19"/>
              </w:rPr>
              <w:t>Variable</w:t>
            </w:r>
          </w:p>
        </w:tc>
        <w:tc>
          <w:tcPr>
            <w:tcW w:w="1490" w:type="dxa"/>
          </w:tcPr>
          <w:p w14:paraId="7317A4B6" w14:textId="77777777" w:rsidR="00913828" w:rsidRPr="00472626" w:rsidRDefault="00246830" w:rsidP="00246830">
            <w:pPr>
              <w:cnfStyle w:val="100000000000" w:firstRow="1"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Mean</w:t>
            </w:r>
          </w:p>
        </w:tc>
        <w:tc>
          <w:tcPr>
            <w:tcW w:w="1490" w:type="dxa"/>
          </w:tcPr>
          <w:p w14:paraId="6D16E110" w14:textId="77777777" w:rsidR="00913828" w:rsidRPr="00472626" w:rsidRDefault="00246830" w:rsidP="00246830">
            <w:pPr>
              <w:cnfStyle w:val="100000000000" w:firstRow="1"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Std Dev</w:t>
            </w:r>
          </w:p>
        </w:tc>
        <w:tc>
          <w:tcPr>
            <w:tcW w:w="1490" w:type="dxa"/>
          </w:tcPr>
          <w:p w14:paraId="21C501E6" w14:textId="77777777" w:rsidR="00913828" w:rsidRPr="00472626" w:rsidRDefault="00246830" w:rsidP="00246830">
            <w:pPr>
              <w:cnfStyle w:val="100000000000" w:firstRow="1"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Min</w:t>
            </w:r>
          </w:p>
        </w:tc>
        <w:tc>
          <w:tcPr>
            <w:tcW w:w="1490" w:type="dxa"/>
          </w:tcPr>
          <w:p w14:paraId="1DE69B5D" w14:textId="77777777" w:rsidR="00913828" w:rsidRPr="00472626" w:rsidRDefault="00246830" w:rsidP="00246830">
            <w:pPr>
              <w:cnfStyle w:val="100000000000" w:firstRow="1"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Max</w:t>
            </w:r>
          </w:p>
        </w:tc>
      </w:tr>
      <w:tr w:rsidR="00472626" w:rsidRPr="00472626" w14:paraId="63A01439" w14:textId="77777777" w:rsidTr="00246830">
        <w:tc>
          <w:tcPr>
            <w:cnfStyle w:val="001000000000" w:firstRow="0" w:lastRow="0" w:firstColumn="1" w:lastColumn="0" w:oddVBand="0" w:evenVBand="0" w:oddHBand="0" w:evenHBand="0" w:firstRowFirstColumn="0" w:firstRowLastColumn="0" w:lastRowFirstColumn="0" w:lastRowLastColumn="0"/>
            <w:tcW w:w="3400" w:type="dxa"/>
          </w:tcPr>
          <w:p w14:paraId="4B31FAF2" w14:textId="77777777" w:rsidR="00913828" w:rsidRPr="00472626" w:rsidRDefault="00246830" w:rsidP="00246830">
            <w:pPr>
              <w:rPr>
                <w:color w:val="000000" w:themeColor="text1"/>
              </w:rPr>
            </w:pPr>
            <w:r w:rsidRPr="00472626">
              <w:rPr>
                <w:color w:val="000000" w:themeColor="text1"/>
                <w:sz w:val="19"/>
                <w:szCs w:val="19"/>
              </w:rPr>
              <w:lastRenderedPageBreak/>
              <w:t>Cognitive Decline (%)</w:t>
            </w:r>
          </w:p>
        </w:tc>
        <w:tc>
          <w:tcPr>
            <w:tcW w:w="1490" w:type="dxa"/>
          </w:tcPr>
          <w:p w14:paraId="5774F812"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36.7%</w:t>
            </w:r>
          </w:p>
        </w:tc>
        <w:tc>
          <w:tcPr>
            <w:tcW w:w="1490" w:type="dxa"/>
          </w:tcPr>
          <w:p w14:paraId="3D5DA26E"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6.9%</w:t>
            </w:r>
          </w:p>
        </w:tc>
        <w:tc>
          <w:tcPr>
            <w:tcW w:w="1490" w:type="dxa"/>
          </w:tcPr>
          <w:p w14:paraId="4C2D3246"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22.4%</w:t>
            </w:r>
          </w:p>
        </w:tc>
        <w:tc>
          <w:tcPr>
            <w:tcW w:w="1490" w:type="dxa"/>
          </w:tcPr>
          <w:p w14:paraId="7CEE78E0"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53.1%</w:t>
            </w:r>
          </w:p>
        </w:tc>
      </w:tr>
      <w:tr w:rsidR="00472626" w:rsidRPr="00472626" w14:paraId="0B1C5B63" w14:textId="77777777" w:rsidTr="00246830">
        <w:tc>
          <w:tcPr>
            <w:cnfStyle w:val="001000000000" w:firstRow="0" w:lastRow="0" w:firstColumn="1" w:lastColumn="0" w:oddVBand="0" w:evenVBand="0" w:oddHBand="0" w:evenHBand="0" w:firstRowFirstColumn="0" w:firstRowLastColumn="0" w:lastRowFirstColumn="0" w:lastRowLastColumn="0"/>
            <w:tcW w:w="3400" w:type="dxa"/>
          </w:tcPr>
          <w:p w14:paraId="0F34A973" w14:textId="77777777" w:rsidR="00913828" w:rsidRPr="00472626" w:rsidRDefault="00246830" w:rsidP="00246830">
            <w:pPr>
              <w:rPr>
                <w:color w:val="000000" w:themeColor="text1"/>
              </w:rPr>
            </w:pPr>
            <w:r w:rsidRPr="00472626">
              <w:rPr>
                <w:color w:val="000000" w:themeColor="text1"/>
                <w:sz w:val="19"/>
                <w:szCs w:val="19"/>
              </w:rPr>
              <w:t>Depression (lifetime diagnosis)</w:t>
            </w:r>
          </w:p>
        </w:tc>
        <w:tc>
          <w:tcPr>
            <w:tcW w:w="1490" w:type="dxa"/>
          </w:tcPr>
          <w:p w14:paraId="725552FA"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18.2%</w:t>
            </w:r>
          </w:p>
        </w:tc>
        <w:tc>
          <w:tcPr>
            <w:tcW w:w="1490" w:type="dxa"/>
          </w:tcPr>
          <w:p w14:paraId="4E5D357C"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3.3%</w:t>
            </w:r>
          </w:p>
        </w:tc>
        <w:tc>
          <w:tcPr>
            <w:tcW w:w="1490" w:type="dxa"/>
          </w:tcPr>
          <w:p w14:paraId="68D9A8D7"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12.2%</w:t>
            </w:r>
          </w:p>
        </w:tc>
        <w:tc>
          <w:tcPr>
            <w:tcW w:w="1490" w:type="dxa"/>
          </w:tcPr>
          <w:p w14:paraId="012F354C"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28.4%</w:t>
            </w:r>
          </w:p>
        </w:tc>
      </w:tr>
      <w:tr w:rsidR="00472626" w:rsidRPr="00472626" w14:paraId="773FD494" w14:textId="77777777" w:rsidTr="00246830">
        <w:tc>
          <w:tcPr>
            <w:cnfStyle w:val="001000000000" w:firstRow="0" w:lastRow="0" w:firstColumn="1" w:lastColumn="0" w:oddVBand="0" w:evenVBand="0" w:oddHBand="0" w:evenHBand="0" w:firstRowFirstColumn="0" w:firstRowLastColumn="0" w:lastRowFirstColumn="0" w:lastRowLastColumn="0"/>
            <w:tcW w:w="3400" w:type="dxa"/>
          </w:tcPr>
          <w:p w14:paraId="59EA8FF9" w14:textId="77777777" w:rsidR="00913828" w:rsidRPr="00472626" w:rsidRDefault="00246830" w:rsidP="00246830">
            <w:pPr>
              <w:rPr>
                <w:color w:val="000000" w:themeColor="text1"/>
              </w:rPr>
            </w:pPr>
            <w:r w:rsidRPr="00472626">
              <w:rPr>
                <w:color w:val="000000" w:themeColor="text1"/>
                <w:sz w:val="19"/>
                <w:szCs w:val="19"/>
              </w:rPr>
              <w:t>Mental Distress</w:t>
            </w:r>
          </w:p>
        </w:tc>
        <w:tc>
          <w:tcPr>
            <w:tcW w:w="1490" w:type="dxa"/>
          </w:tcPr>
          <w:p w14:paraId="16A232D7"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11.1%</w:t>
            </w:r>
          </w:p>
        </w:tc>
        <w:tc>
          <w:tcPr>
            <w:tcW w:w="1490" w:type="dxa"/>
          </w:tcPr>
          <w:p w14:paraId="67852923"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2.1%</w:t>
            </w:r>
          </w:p>
        </w:tc>
        <w:tc>
          <w:tcPr>
            <w:tcW w:w="1490" w:type="dxa"/>
          </w:tcPr>
          <w:p w14:paraId="7A88050B"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6.2%</w:t>
            </w:r>
          </w:p>
        </w:tc>
        <w:tc>
          <w:tcPr>
            <w:tcW w:w="1490" w:type="dxa"/>
          </w:tcPr>
          <w:p w14:paraId="4F367553"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16.9%</w:t>
            </w:r>
          </w:p>
        </w:tc>
      </w:tr>
      <w:tr w:rsidR="00472626" w:rsidRPr="00472626" w14:paraId="1B93FD90" w14:textId="77777777" w:rsidTr="00246830">
        <w:tc>
          <w:tcPr>
            <w:cnfStyle w:val="001000000000" w:firstRow="0" w:lastRow="0" w:firstColumn="1" w:lastColumn="0" w:oddVBand="0" w:evenVBand="0" w:oddHBand="0" w:evenHBand="0" w:firstRowFirstColumn="0" w:firstRowLastColumn="0" w:lastRowFirstColumn="0" w:lastRowLastColumn="0"/>
            <w:tcW w:w="3400" w:type="dxa"/>
          </w:tcPr>
          <w:p w14:paraId="66CB3364" w14:textId="77777777" w:rsidR="00913828" w:rsidRPr="00472626" w:rsidRDefault="00246830" w:rsidP="00246830">
            <w:pPr>
              <w:rPr>
                <w:color w:val="000000" w:themeColor="text1"/>
              </w:rPr>
            </w:pPr>
            <w:r w:rsidRPr="00472626">
              <w:rPr>
                <w:color w:val="000000" w:themeColor="text1"/>
                <w:sz w:val="19"/>
                <w:szCs w:val="19"/>
              </w:rPr>
              <w:t>Physical Inactivity</w:t>
            </w:r>
          </w:p>
        </w:tc>
        <w:tc>
          <w:tcPr>
            <w:tcW w:w="1490" w:type="dxa"/>
          </w:tcPr>
          <w:p w14:paraId="1C7F6676"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30.3%</w:t>
            </w:r>
          </w:p>
        </w:tc>
        <w:tc>
          <w:tcPr>
            <w:tcW w:w="1490" w:type="dxa"/>
          </w:tcPr>
          <w:p w14:paraId="5E8A7C41"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5.1%</w:t>
            </w:r>
          </w:p>
        </w:tc>
        <w:tc>
          <w:tcPr>
            <w:tcW w:w="1490" w:type="dxa"/>
          </w:tcPr>
          <w:p w14:paraId="01CDBD15"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21.3%</w:t>
            </w:r>
          </w:p>
        </w:tc>
        <w:tc>
          <w:tcPr>
            <w:tcW w:w="1490" w:type="dxa"/>
          </w:tcPr>
          <w:p w14:paraId="4CDB7E95"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45.7%</w:t>
            </w:r>
          </w:p>
        </w:tc>
      </w:tr>
      <w:tr w:rsidR="00472626" w:rsidRPr="00472626" w14:paraId="5059AB83" w14:textId="77777777" w:rsidTr="00246830">
        <w:tc>
          <w:tcPr>
            <w:cnfStyle w:val="001000000000" w:firstRow="0" w:lastRow="0" w:firstColumn="1" w:lastColumn="0" w:oddVBand="0" w:evenVBand="0" w:oddHBand="0" w:evenHBand="0" w:firstRowFirstColumn="0" w:firstRowLastColumn="0" w:lastRowFirstColumn="0" w:lastRowLastColumn="0"/>
            <w:tcW w:w="3400" w:type="dxa"/>
          </w:tcPr>
          <w:p w14:paraId="17734938" w14:textId="77777777" w:rsidR="00913828" w:rsidRPr="00472626" w:rsidRDefault="00246830" w:rsidP="00246830">
            <w:pPr>
              <w:rPr>
                <w:color w:val="000000" w:themeColor="text1"/>
              </w:rPr>
            </w:pPr>
            <w:r w:rsidRPr="00472626">
              <w:rPr>
                <w:color w:val="000000" w:themeColor="text1"/>
                <w:sz w:val="19"/>
                <w:szCs w:val="19"/>
              </w:rPr>
              <w:t>Self-reported Poor Health</w:t>
            </w:r>
          </w:p>
        </w:tc>
        <w:tc>
          <w:tcPr>
            <w:tcW w:w="1490" w:type="dxa"/>
          </w:tcPr>
          <w:p w14:paraId="3CCC9CE5"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25.4%</w:t>
            </w:r>
          </w:p>
        </w:tc>
        <w:tc>
          <w:tcPr>
            <w:tcW w:w="1490" w:type="dxa"/>
          </w:tcPr>
          <w:p w14:paraId="10ABD5D6"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4.8%</w:t>
            </w:r>
          </w:p>
        </w:tc>
        <w:tc>
          <w:tcPr>
            <w:tcW w:w="1490" w:type="dxa"/>
          </w:tcPr>
          <w:p w14:paraId="2B3721A6"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13.7%</w:t>
            </w:r>
          </w:p>
        </w:tc>
        <w:tc>
          <w:tcPr>
            <w:tcW w:w="1490" w:type="dxa"/>
          </w:tcPr>
          <w:p w14:paraId="7D12ABE7"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38.5%</w:t>
            </w:r>
          </w:p>
        </w:tc>
      </w:tr>
      <w:tr w:rsidR="00472626" w:rsidRPr="00472626" w14:paraId="674E4BF9" w14:textId="77777777" w:rsidTr="00246830">
        <w:tc>
          <w:tcPr>
            <w:cnfStyle w:val="001000000000" w:firstRow="0" w:lastRow="0" w:firstColumn="1" w:lastColumn="0" w:oddVBand="0" w:evenVBand="0" w:oddHBand="0" w:evenHBand="0" w:firstRowFirstColumn="0" w:firstRowLastColumn="0" w:lastRowFirstColumn="0" w:lastRowLastColumn="0"/>
            <w:tcW w:w="3400" w:type="dxa"/>
          </w:tcPr>
          <w:p w14:paraId="1B159E54" w14:textId="77777777" w:rsidR="00913828" w:rsidRPr="00472626" w:rsidRDefault="00246830" w:rsidP="00246830">
            <w:pPr>
              <w:rPr>
                <w:color w:val="000000" w:themeColor="text1"/>
              </w:rPr>
            </w:pPr>
            <w:r w:rsidRPr="00472626">
              <w:rPr>
                <w:color w:val="000000" w:themeColor="text1"/>
                <w:sz w:val="19"/>
                <w:szCs w:val="19"/>
              </w:rPr>
              <w:t>Unhealthy Days (mean days/month)</w:t>
            </w:r>
          </w:p>
        </w:tc>
        <w:tc>
          <w:tcPr>
            <w:tcW w:w="1490" w:type="dxa"/>
          </w:tcPr>
          <w:p w14:paraId="2767B8E9"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5.3</w:t>
            </w:r>
          </w:p>
        </w:tc>
        <w:tc>
          <w:tcPr>
            <w:tcW w:w="1490" w:type="dxa"/>
          </w:tcPr>
          <w:p w14:paraId="512D858E"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0.9</w:t>
            </w:r>
          </w:p>
        </w:tc>
        <w:tc>
          <w:tcPr>
            <w:tcW w:w="1490" w:type="dxa"/>
          </w:tcPr>
          <w:p w14:paraId="5A697A4B"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3.2</w:t>
            </w:r>
          </w:p>
        </w:tc>
        <w:tc>
          <w:tcPr>
            <w:tcW w:w="1490" w:type="dxa"/>
          </w:tcPr>
          <w:p w14:paraId="1B8563B1"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7.6</w:t>
            </w:r>
          </w:p>
        </w:tc>
      </w:tr>
      <w:tr w:rsidR="00472626" w:rsidRPr="00472626" w14:paraId="3BE6F3D3" w14:textId="77777777" w:rsidTr="00246830">
        <w:tc>
          <w:tcPr>
            <w:cnfStyle w:val="001000000000" w:firstRow="0" w:lastRow="0" w:firstColumn="1" w:lastColumn="0" w:oddVBand="0" w:evenVBand="0" w:oddHBand="0" w:evenHBand="0" w:firstRowFirstColumn="0" w:firstRowLastColumn="0" w:lastRowFirstColumn="0" w:lastRowLastColumn="0"/>
            <w:tcW w:w="3400" w:type="dxa"/>
          </w:tcPr>
          <w:p w14:paraId="41C58505" w14:textId="77777777" w:rsidR="00913828" w:rsidRPr="00472626" w:rsidRDefault="00246830" w:rsidP="00246830">
            <w:pPr>
              <w:rPr>
                <w:color w:val="000000" w:themeColor="text1"/>
              </w:rPr>
            </w:pPr>
            <w:r w:rsidRPr="00472626">
              <w:rPr>
                <w:color w:val="000000" w:themeColor="text1"/>
                <w:sz w:val="19"/>
                <w:szCs w:val="19"/>
              </w:rPr>
              <w:t>Disability</w:t>
            </w:r>
          </w:p>
        </w:tc>
        <w:tc>
          <w:tcPr>
            <w:tcW w:w="1490" w:type="dxa"/>
          </w:tcPr>
          <w:p w14:paraId="518CEA6E"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37.6%</w:t>
            </w:r>
          </w:p>
        </w:tc>
        <w:tc>
          <w:tcPr>
            <w:tcW w:w="1490" w:type="dxa"/>
          </w:tcPr>
          <w:p w14:paraId="260A6118"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5.4%</w:t>
            </w:r>
          </w:p>
        </w:tc>
        <w:tc>
          <w:tcPr>
            <w:tcW w:w="1490" w:type="dxa"/>
          </w:tcPr>
          <w:p w14:paraId="773B951B"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27.5%</w:t>
            </w:r>
          </w:p>
        </w:tc>
        <w:tc>
          <w:tcPr>
            <w:tcW w:w="1490" w:type="dxa"/>
          </w:tcPr>
          <w:p w14:paraId="43D42046"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53.5%</w:t>
            </w:r>
          </w:p>
        </w:tc>
      </w:tr>
    </w:tbl>
    <w:p w14:paraId="2624A9B0" w14:textId="77777777" w:rsidR="00913828" w:rsidRPr="00472626" w:rsidRDefault="00913828" w:rsidP="00246830">
      <w:pPr>
        <w:spacing w:after="25"/>
        <w:rPr>
          <w:color w:val="000000" w:themeColor="text1"/>
        </w:rPr>
      </w:pPr>
    </w:p>
    <w:p w14:paraId="678E9C14" w14:textId="77777777" w:rsidR="00913828" w:rsidRPr="00472626" w:rsidRDefault="00246830" w:rsidP="00246830">
      <w:pPr>
        <w:pStyle w:val="Heading1"/>
        <w:spacing w:after="60"/>
        <w:rPr>
          <w:color w:val="000000" w:themeColor="text1"/>
          <w:sz w:val="28"/>
          <w:szCs w:val="28"/>
        </w:rPr>
      </w:pPr>
      <w:r w:rsidRPr="00472626">
        <w:rPr>
          <w:b/>
          <w:bCs/>
          <w:color w:val="000000" w:themeColor="text1"/>
          <w:sz w:val="28"/>
          <w:szCs w:val="28"/>
        </w:rPr>
        <w:t>3.  Exploratory Data Analysis</w:t>
      </w:r>
    </w:p>
    <w:p w14:paraId="65068E9E"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RQ1: State Variation in Cognitive Decline</w:t>
      </w:r>
    </w:p>
    <w:p w14:paraId="479A3E0E" w14:textId="38A3FC27" w:rsidR="00913828" w:rsidRPr="00472626" w:rsidRDefault="00246830" w:rsidP="00246830">
      <w:pPr>
        <w:spacing w:after="70"/>
        <w:rPr>
          <w:color w:val="000000" w:themeColor="text1"/>
        </w:rPr>
      </w:pPr>
      <w:r w:rsidRPr="00472626">
        <w:rPr>
          <w:color w:val="000000" w:themeColor="text1"/>
        </w:rPr>
        <w:t>Southern states have the highest average rates: Mississippi (50.3%), Tennessee (48.7%), Alabama (47.7%), Louisiana (47.3%), Illinois (46.6%), Texas (45.7%). Lowest rates are in the Midwest and New England: Iowa (27.9%), Minnesota (28.2%), Massachusetts (28.5%), Colorado (28.6%). The gap is nearly 2:1, suggesting strong regional patterns linked to socioeconomic conditions and health behaviors.</w:t>
      </w:r>
    </w:p>
    <w:p w14:paraId="060D3099" w14:textId="67B49770" w:rsidR="002945CA" w:rsidRPr="00472626" w:rsidRDefault="002945CA" w:rsidP="00246830">
      <w:pPr>
        <w:spacing w:after="70"/>
        <w:rPr>
          <w:color w:val="000000" w:themeColor="text1"/>
        </w:rPr>
      </w:pPr>
      <w:r w:rsidRPr="00472626">
        <w:rPr>
          <w:noProof/>
          <w:color w:val="000000" w:themeColor="text1"/>
        </w:rPr>
        <w:drawing>
          <wp:inline distT="0" distB="0" distL="0" distR="0" wp14:anchorId="4632F856" wp14:editId="0DB59264">
            <wp:extent cx="6400800" cy="24406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7048"/>
                    <a:stretch/>
                  </pic:blipFill>
                  <pic:spPr bwMode="auto">
                    <a:xfrm>
                      <a:off x="0" y="0"/>
                      <a:ext cx="6400800" cy="2440668"/>
                    </a:xfrm>
                    <a:prstGeom prst="rect">
                      <a:avLst/>
                    </a:prstGeom>
                    <a:noFill/>
                    <a:ln>
                      <a:noFill/>
                    </a:ln>
                    <a:extLst>
                      <a:ext uri="{53640926-AAD7-44D8-BBD7-CCE9431645EC}">
                        <a14:shadowObscured xmlns:a14="http://schemas.microsoft.com/office/drawing/2010/main"/>
                      </a:ext>
                    </a:extLst>
                  </pic:spPr>
                </pic:pic>
              </a:graphicData>
            </a:graphic>
          </wp:inline>
        </w:drawing>
      </w:r>
    </w:p>
    <w:p w14:paraId="0367B6E2" w14:textId="77777777" w:rsidR="00913828" w:rsidRPr="00472626" w:rsidRDefault="00246830" w:rsidP="00246830">
      <w:pPr>
        <w:spacing w:after="70"/>
        <w:jc w:val="center"/>
        <w:rPr>
          <w:color w:val="000000" w:themeColor="text1"/>
        </w:rPr>
      </w:pPr>
      <w:r w:rsidRPr="00472626">
        <w:rPr>
          <w:i/>
          <w:iCs/>
          <w:color w:val="000000" w:themeColor="text1"/>
          <w:sz w:val="17"/>
          <w:szCs w:val="17"/>
        </w:rPr>
        <w:t>Figure 1: Average cognitive decline rate by state (2015–2022). Source: CDC BRFSS.</w:t>
      </w:r>
    </w:p>
    <w:p w14:paraId="3CDFAE9B"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RQ8: Age Group Differences</w:t>
      </w:r>
    </w:p>
    <w:p w14:paraId="6C3A4B1C" w14:textId="09CD84B7" w:rsidR="00913828" w:rsidRPr="00472626" w:rsidRDefault="00246830" w:rsidP="00246830">
      <w:pPr>
        <w:spacing w:after="70"/>
        <w:rPr>
          <w:color w:val="000000" w:themeColor="text1"/>
        </w:rPr>
      </w:pPr>
      <w:r w:rsidRPr="00472626">
        <w:rPr>
          <w:color w:val="000000" w:themeColor="text1"/>
        </w:rPr>
        <w:t>The 50</w:t>
      </w:r>
      <w:r w:rsidR="002945CA" w:rsidRPr="00472626">
        <w:rPr>
          <w:color w:val="000000" w:themeColor="text1"/>
        </w:rPr>
        <w:t>-</w:t>
      </w:r>
      <w:r w:rsidRPr="00472626">
        <w:rPr>
          <w:color w:val="000000" w:themeColor="text1"/>
        </w:rPr>
        <w:t>64 age group reports 43.0% average cognitive decline vs 29.9% for the 65+ group</w:t>
      </w:r>
      <w:r w:rsidR="002945CA" w:rsidRPr="00472626">
        <w:rPr>
          <w:color w:val="000000" w:themeColor="text1"/>
        </w:rPr>
        <w:t>,</w:t>
      </w:r>
      <w:r w:rsidRPr="00472626">
        <w:rPr>
          <w:color w:val="000000" w:themeColor="text1"/>
        </w:rPr>
        <w:t xml:space="preserve"> surprising since cognitive decline is typically associated with older adults. The r = 0.48 correlation between groups means states ranking high for one also tend to rank high for the other. Note: this RQ was revised from the original plan, which proposed testing the Census % aged 65+ variable; the direct age-group </w:t>
      </w:r>
      <w:r w:rsidR="002945CA" w:rsidRPr="00472626">
        <w:rPr>
          <w:color w:val="000000" w:themeColor="text1"/>
        </w:rPr>
        <w:t>comparisons from the BRFSS stratification are</w:t>
      </w:r>
      <w:r w:rsidRPr="00472626">
        <w:rPr>
          <w:color w:val="000000" w:themeColor="text1"/>
        </w:rPr>
        <w:t xml:space="preserve"> more informative.</w:t>
      </w:r>
    </w:p>
    <w:p w14:paraId="136067C9"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RQ2–RQ5: Health and Behavioral Risk Factors</w:t>
      </w:r>
    </w:p>
    <w:p w14:paraId="747A522C" w14:textId="1C7925BB" w:rsidR="00913828" w:rsidRPr="00472626" w:rsidRDefault="00246830" w:rsidP="00246830">
      <w:pPr>
        <w:spacing w:after="70"/>
        <w:rPr>
          <w:color w:val="000000" w:themeColor="text1"/>
        </w:rPr>
      </w:pPr>
      <w:r w:rsidRPr="00472626">
        <w:rPr>
          <w:color w:val="000000" w:themeColor="text1"/>
        </w:rPr>
        <w:t>All six health factors show positive correlations with cognitive decline:</w:t>
      </w:r>
    </w:p>
    <w:p w14:paraId="6EA925C3" w14:textId="77777777" w:rsidR="002945CA" w:rsidRPr="00472626" w:rsidRDefault="002945CA" w:rsidP="00246830">
      <w:pPr>
        <w:spacing w:after="70"/>
        <w:rPr>
          <w:color w:val="000000" w:themeColor="text1"/>
        </w:rPr>
      </w:pPr>
    </w:p>
    <w:tbl>
      <w:tblPr>
        <w:tblStyle w:val="GridTable1Light-Accent3"/>
        <w:tblW w:w="9360" w:type="dxa"/>
        <w:tblLook w:val="04A0" w:firstRow="1" w:lastRow="0" w:firstColumn="1" w:lastColumn="0" w:noHBand="0" w:noVBand="1"/>
      </w:tblPr>
      <w:tblGrid>
        <w:gridCol w:w="3200"/>
        <w:gridCol w:w="800"/>
        <w:gridCol w:w="5360"/>
      </w:tblGrid>
      <w:tr w:rsidR="00472626" w:rsidRPr="00472626" w14:paraId="4033A201" w14:textId="77777777" w:rsidTr="00246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3AF5F1E" w14:textId="77777777" w:rsidR="00913828" w:rsidRPr="00472626" w:rsidRDefault="00246830" w:rsidP="00246830">
            <w:pPr>
              <w:rPr>
                <w:color w:val="000000" w:themeColor="text1"/>
              </w:rPr>
            </w:pPr>
            <w:r w:rsidRPr="00472626">
              <w:rPr>
                <w:color w:val="000000" w:themeColor="text1"/>
                <w:sz w:val="19"/>
                <w:szCs w:val="19"/>
              </w:rPr>
              <w:t>Risk Factor (RQ)</w:t>
            </w:r>
          </w:p>
        </w:tc>
        <w:tc>
          <w:tcPr>
            <w:tcW w:w="800" w:type="dxa"/>
          </w:tcPr>
          <w:p w14:paraId="49E0C290" w14:textId="77777777" w:rsidR="00913828" w:rsidRPr="00472626" w:rsidRDefault="00246830" w:rsidP="00246830">
            <w:pPr>
              <w:cnfStyle w:val="100000000000" w:firstRow="1"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r</w:t>
            </w:r>
          </w:p>
        </w:tc>
        <w:tc>
          <w:tcPr>
            <w:tcW w:w="5360" w:type="dxa"/>
          </w:tcPr>
          <w:p w14:paraId="4E94DEC9" w14:textId="77777777" w:rsidR="00913828" w:rsidRPr="00472626" w:rsidRDefault="00246830" w:rsidP="00246830">
            <w:pPr>
              <w:cnfStyle w:val="100000000000" w:firstRow="1"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Interpretation</w:t>
            </w:r>
          </w:p>
        </w:tc>
      </w:tr>
      <w:tr w:rsidR="00472626" w:rsidRPr="00472626" w14:paraId="4F46D9CE" w14:textId="77777777" w:rsidTr="00246830">
        <w:tc>
          <w:tcPr>
            <w:cnfStyle w:val="001000000000" w:firstRow="0" w:lastRow="0" w:firstColumn="1" w:lastColumn="0" w:oddVBand="0" w:evenVBand="0" w:oddHBand="0" w:evenHBand="0" w:firstRowFirstColumn="0" w:firstRowLastColumn="0" w:lastRowFirstColumn="0" w:lastRowLastColumn="0"/>
            <w:tcW w:w="3200" w:type="dxa"/>
          </w:tcPr>
          <w:p w14:paraId="17DAEA2A" w14:textId="77777777" w:rsidR="00913828" w:rsidRPr="00472626" w:rsidRDefault="00246830" w:rsidP="00246830">
            <w:pPr>
              <w:rPr>
                <w:color w:val="000000" w:themeColor="text1"/>
              </w:rPr>
            </w:pPr>
            <w:r w:rsidRPr="00472626">
              <w:rPr>
                <w:color w:val="000000" w:themeColor="text1"/>
                <w:sz w:val="19"/>
                <w:szCs w:val="19"/>
              </w:rPr>
              <w:t>Self-reported Poor Health (RQ4)</w:t>
            </w:r>
          </w:p>
        </w:tc>
        <w:tc>
          <w:tcPr>
            <w:tcW w:w="800" w:type="dxa"/>
          </w:tcPr>
          <w:p w14:paraId="44561304"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0.54</w:t>
            </w:r>
          </w:p>
        </w:tc>
        <w:tc>
          <w:tcPr>
            <w:tcW w:w="5360" w:type="dxa"/>
          </w:tcPr>
          <w:p w14:paraId="35245E6A"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Strong positive — strongest predictor</w:t>
            </w:r>
          </w:p>
        </w:tc>
      </w:tr>
      <w:tr w:rsidR="00472626" w:rsidRPr="00472626" w14:paraId="3A47E03D" w14:textId="77777777" w:rsidTr="00246830">
        <w:tc>
          <w:tcPr>
            <w:cnfStyle w:val="001000000000" w:firstRow="0" w:lastRow="0" w:firstColumn="1" w:lastColumn="0" w:oddVBand="0" w:evenVBand="0" w:oddHBand="0" w:evenHBand="0" w:firstRowFirstColumn="0" w:firstRowLastColumn="0" w:lastRowFirstColumn="0" w:lastRowLastColumn="0"/>
            <w:tcW w:w="3200" w:type="dxa"/>
          </w:tcPr>
          <w:p w14:paraId="6C1E90BF" w14:textId="77777777" w:rsidR="00913828" w:rsidRPr="00472626" w:rsidRDefault="00246830" w:rsidP="00246830">
            <w:pPr>
              <w:rPr>
                <w:color w:val="000000" w:themeColor="text1"/>
              </w:rPr>
            </w:pPr>
            <w:r w:rsidRPr="00472626">
              <w:rPr>
                <w:color w:val="000000" w:themeColor="text1"/>
                <w:sz w:val="19"/>
                <w:szCs w:val="19"/>
              </w:rPr>
              <w:t>Physical Inactivity (RQ3)</w:t>
            </w:r>
          </w:p>
        </w:tc>
        <w:tc>
          <w:tcPr>
            <w:tcW w:w="800" w:type="dxa"/>
          </w:tcPr>
          <w:p w14:paraId="6BA3D237"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0.48</w:t>
            </w:r>
          </w:p>
        </w:tc>
        <w:tc>
          <w:tcPr>
            <w:tcW w:w="5360" w:type="dxa"/>
          </w:tcPr>
          <w:p w14:paraId="06C4784D"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Moderate-strong positive</w:t>
            </w:r>
          </w:p>
        </w:tc>
      </w:tr>
      <w:tr w:rsidR="00472626" w:rsidRPr="00472626" w14:paraId="0636DB98" w14:textId="77777777" w:rsidTr="00246830">
        <w:tc>
          <w:tcPr>
            <w:cnfStyle w:val="001000000000" w:firstRow="0" w:lastRow="0" w:firstColumn="1" w:lastColumn="0" w:oddVBand="0" w:evenVBand="0" w:oddHBand="0" w:evenHBand="0" w:firstRowFirstColumn="0" w:firstRowLastColumn="0" w:lastRowFirstColumn="0" w:lastRowLastColumn="0"/>
            <w:tcW w:w="3200" w:type="dxa"/>
          </w:tcPr>
          <w:p w14:paraId="72725BD3" w14:textId="77777777" w:rsidR="00913828" w:rsidRPr="00472626" w:rsidRDefault="00246830" w:rsidP="00246830">
            <w:pPr>
              <w:rPr>
                <w:color w:val="000000" w:themeColor="text1"/>
              </w:rPr>
            </w:pPr>
            <w:r w:rsidRPr="00472626">
              <w:rPr>
                <w:color w:val="000000" w:themeColor="text1"/>
                <w:sz w:val="19"/>
                <w:szCs w:val="19"/>
              </w:rPr>
              <w:t>Mental Distress</w:t>
            </w:r>
          </w:p>
        </w:tc>
        <w:tc>
          <w:tcPr>
            <w:tcW w:w="800" w:type="dxa"/>
          </w:tcPr>
          <w:p w14:paraId="28399B6D"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0.44</w:t>
            </w:r>
          </w:p>
        </w:tc>
        <w:tc>
          <w:tcPr>
            <w:tcW w:w="5360" w:type="dxa"/>
          </w:tcPr>
          <w:p w14:paraId="450C5C1F"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Moderate positive</w:t>
            </w:r>
          </w:p>
        </w:tc>
      </w:tr>
      <w:tr w:rsidR="00472626" w:rsidRPr="00472626" w14:paraId="4FF39B0A" w14:textId="77777777" w:rsidTr="00246830">
        <w:tc>
          <w:tcPr>
            <w:cnfStyle w:val="001000000000" w:firstRow="0" w:lastRow="0" w:firstColumn="1" w:lastColumn="0" w:oddVBand="0" w:evenVBand="0" w:oddHBand="0" w:evenHBand="0" w:firstRowFirstColumn="0" w:firstRowLastColumn="0" w:lastRowFirstColumn="0" w:lastRowLastColumn="0"/>
            <w:tcW w:w="3200" w:type="dxa"/>
          </w:tcPr>
          <w:p w14:paraId="019310E4" w14:textId="77777777" w:rsidR="00913828" w:rsidRPr="00472626" w:rsidRDefault="00246830" w:rsidP="00246830">
            <w:pPr>
              <w:rPr>
                <w:color w:val="000000" w:themeColor="text1"/>
              </w:rPr>
            </w:pPr>
            <w:r w:rsidRPr="00472626">
              <w:rPr>
                <w:color w:val="000000" w:themeColor="text1"/>
                <w:sz w:val="19"/>
                <w:szCs w:val="19"/>
              </w:rPr>
              <w:t>Disability (RQ5)</w:t>
            </w:r>
          </w:p>
        </w:tc>
        <w:tc>
          <w:tcPr>
            <w:tcW w:w="800" w:type="dxa"/>
          </w:tcPr>
          <w:p w14:paraId="01FBB6ED"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0.43</w:t>
            </w:r>
          </w:p>
        </w:tc>
        <w:tc>
          <w:tcPr>
            <w:tcW w:w="5360" w:type="dxa"/>
          </w:tcPr>
          <w:p w14:paraId="30A54923"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Moderate positive</w:t>
            </w:r>
          </w:p>
        </w:tc>
      </w:tr>
      <w:tr w:rsidR="00472626" w:rsidRPr="00472626" w14:paraId="29A87F93" w14:textId="77777777" w:rsidTr="00246830">
        <w:tc>
          <w:tcPr>
            <w:cnfStyle w:val="001000000000" w:firstRow="0" w:lastRow="0" w:firstColumn="1" w:lastColumn="0" w:oddVBand="0" w:evenVBand="0" w:oddHBand="0" w:evenHBand="0" w:firstRowFirstColumn="0" w:firstRowLastColumn="0" w:lastRowFirstColumn="0" w:lastRowLastColumn="0"/>
            <w:tcW w:w="3200" w:type="dxa"/>
          </w:tcPr>
          <w:p w14:paraId="4F8FBF96" w14:textId="77777777" w:rsidR="00913828" w:rsidRPr="00472626" w:rsidRDefault="00246830" w:rsidP="00246830">
            <w:pPr>
              <w:rPr>
                <w:color w:val="000000" w:themeColor="text1"/>
              </w:rPr>
            </w:pPr>
            <w:r w:rsidRPr="00472626">
              <w:rPr>
                <w:color w:val="000000" w:themeColor="text1"/>
                <w:sz w:val="19"/>
                <w:szCs w:val="19"/>
              </w:rPr>
              <w:t>Unhealthy Days</w:t>
            </w:r>
          </w:p>
        </w:tc>
        <w:tc>
          <w:tcPr>
            <w:tcW w:w="800" w:type="dxa"/>
          </w:tcPr>
          <w:p w14:paraId="58B5C3B1"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0.38</w:t>
            </w:r>
          </w:p>
        </w:tc>
        <w:tc>
          <w:tcPr>
            <w:tcW w:w="5360" w:type="dxa"/>
          </w:tcPr>
          <w:p w14:paraId="50215436"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Moderate positive</w:t>
            </w:r>
          </w:p>
        </w:tc>
      </w:tr>
      <w:tr w:rsidR="00472626" w:rsidRPr="00472626" w14:paraId="4A0FD91B" w14:textId="77777777" w:rsidTr="00246830">
        <w:tc>
          <w:tcPr>
            <w:cnfStyle w:val="001000000000" w:firstRow="0" w:lastRow="0" w:firstColumn="1" w:lastColumn="0" w:oddVBand="0" w:evenVBand="0" w:oddHBand="0" w:evenHBand="0" w:firstRowFirstColumn="0" w:firstRowLastColumn="0" w:lastRowFirstColumn="0" w:lastRowLastColumn="0"/>
            <w:tcW w:w="3200" w:type="dxa"/>
          </w:tcPr>
          <w:p w14:paraId="4032E9B8" w14:textId="77777777" w:rsidR="00913828" w:rsidRPr="00472626" w:rsidRDefault="00246830" w:rsidP="00246830">
            <w:pPr>
              <w:rPr>
                <w:color w:val="000000" w:themeColor="text1"/>
              </w:rPr>
            </w:pPr>
            <w:r w:rsidRPr="00472626">
              <w:rPr>
                <w:color w:val="000000" w:themeColor="text1"/>
                <w:sz w:val="19"/>
                <w:szCs w:val="19"/>
              </w:rPr>
              <w:t>Depression (RQ2)</w:t>
            </w:r>
          </w:p>
        </w:tc>
        <w:tc>
          <w:tcPr>
            <w:tcW w:w="800" w:type="dxa"/>
          </w:tcPr>
          <w:p w14:paraId="7C3CFDF9"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0.22</w:t>
            </w:r>
          </w:p>
        </w:tc>
        <w:tc>
          <w:tcPr>
            <w:tcW w:w="5360" w:type="dxa"/>
          </w:tcPr>
          <w:p w14:paraId="4AE83A42" w14:textId="77777777" w:rsidR="00913828" w:rsidRPr="00472626" w:rsidRDefault="00246830" w:rsidP="00246830">
            <w:pPr>
              <w:cnfStyle w:val="000000000000" w:firstRow="0" w:lastRow="0" w:firstColumn="0" w:lastColumn="0" w:oddVBand="0" w:evenVBand="0" w:oddHBand="0" w:evenHBand="0" w:firstRowFirstColumn="0" w:firstRowLastColumn="0" w:lastRowFirstColumn="0" w:lastRowLastColumn="0"/>
              <w:rPr>
                <w:color w:val="000000" w:themeColor="text1"/>
              </w:rPr>
            </w:pPr>
            <w:r w:rsidRPr="00472626">
              <w:rPr>
                <w:color w:val="000000" w:themeColor="text1"/>
                <w:sz w:val="19"/>
                <w:szCs w:val="19"/>
              </w:rPr>
              <w:t>Weak positive — dataset measures lifetime diagnosis, not current status</w:t>
            </w:r>
          </w:p>
        </w:tc>
      </w:tr>
    </w:tbl>
    <w:p w14:paraId="5D08C68F" w14:textId="5253F2EC" w:rsidR="00913828" w:rsidRPr="00472626" w:rsidRDefault="00246830" w:rsidP="00246830">
      <w:pPr>
        <w:spacing w:after="70"/>
        <w:rPr>
          <w:color w:val="000000" w:themeColor="text1"/>
        </w:rPr>
      </w:pPr>
      <w:r w:rsidRPr="00472626">
        <w:rPr>
          <w:color w:val="000000" w:themeColor="text1"/>
        </w:rPr>
        <w:t>Depression is weakest because the dataset measures lifetime diagnosis rather than current status</w:t>
      </w:r>
      <w:r w:rsidR="002945CA" w:rsidRPr="00472626">
        <w:rPr>
          <w:color w:val="000000" w:themeColor="text1"/>
        </w:rPr>
        <w:t xml:space="preserve">, </w:t>
      </w:r>
      <w:r w:rsidRPr="00472626">
        <w:rPr>
          <w:color w:val="000000" w:themeColor="text1"/>
        </w:rPr>
        <w:t>a less precise indicator of present mental health.</w:t>
      </w:r>
    </w:p>
    <w:p w14:paraId="799B2DDC" w14:textId="446E2187" w:rsidR="002945CA" w:rsidRPr="00472626" w:rsidRDefault="002945CA" w:rsidP="00246830">
      <w:pPr>
        <w:spacing w:after="70"/>
        <w:jc w:val="center"/>
        <w:rPr>
          <w:color w:val="000000" w:themeColor="text1"/>
        </w:rPr>
      </w:pPr>
      <w:r w:rsidRPr="00472626">
        <w:rPr>
          <w:noProof/>
          <w:color w:val="000000" w:themeColor="text1"/>
        </w:rPr>
        <w:lastRenderedPageBreak/>
        <w:drawing>
          <wp:inline distT="0" distB="0" distL="0" distR="0" wp14:anchorId="7D082DB3" wp14:editId="010C4994">
            <wp:extent cx="5222054" cy="27933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6678" r="-281"/>
                    <a:stretch/>
                  </pic:blipFill>
                  <pic:spPr bwMode="auto">
                    <a:xfrm>
                      <a:off x="0" y="0"/>
                      <a:ext cx="5236099" cy="2800878"/>
                    </a:xfrm>
                    <a:prstGeom prst="rect">
                      <a:avLst/>
                    </a:prstGeom>
                    <a:noFill/>
                    <a:ln>
                      <a:noFill/>
                    </a:ln>
                    <a:extLst>
                      <a:ext uri="{53640926-AAD7-44D8-BBD7-CCE9431645EC}">
                        <a14:shadowObscured xmlns:a14="http://schemas.microsoft.com/office/drawing/2010/main"/>
                      </a:ext>
                    </a:extLst>
                  </pic:spPr>
                </pic:pic>
              </a:graphicData>
            </a:graphic>
          </wp:inline>
        </w:drawing>
      </w:r>
    </w:p>
    <w:p w14:paraId="51116BD3" w14:textId="77777777" w:rsidR="00913828" w:rsidRPr="00472626" w:rsidRDefault="00246830" w:rsidP="00246830">
      <w:pPr>
        <w:spacing w:after="70"/>
        <w:jc w:val="center"/>
        <w:rPr>
          <w:color w:val="000000" w:themeColor="text1"/>
        </w:rPr>
      </w:pPr>
      <w:r w:rsidRPr="00472626">
        <w:rPr>
          <w:i/>
          <w:iCs/>
          <w:color w:val="000000" w:themeColor="text1"/>
          <w:sz w:val="17"/>
          <w:szCs w:val="17"/>
        </w:rPr>
        <w:t>Figure 2: RQ2–RQ5. Each dot = one state-year observation. Red line = trend. Source: CDC BRFSS.</w:t>
      </w:r>
    </w:p>
    <w:p w14:paraId="24626116"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RQ6 and RQ7: Socioeconomic Factors (Census API)</w:t>
      </w:r>
    </w:p>
    <w:p w14:paraId="6D333DE4" w14:textId="408891A4" w:rsidR="00913828" w:rsidRPr="00472626" w:rsidRDefault="00246830" w:rsidP="00246830">
      <w:pPr>
        <w:spacing w:after="70"/>
        <w:rPr>
          <w:color w:val="000000" w:themeColor="text1"/>
        </w:rPr>
      </w:pPr>
      <w:r w:rsidRPr="00472626">
        <w:rPr>
          <w:color w:val="000000" w:themeColor="text1"/>
        </w:rPr>
        <w:t>Both Census variables show negative correlations</w:t>
      </w:r>
      <w:r w:rsidR="00CC4BAF" w:rsidRPr="00472626">
        <w:rPr>
          <w:color w:val="000000" w:themeColor="text1"/>
        </w:rPr>
        <w:t>,</w:t>
      </w:r>
      <w:r w:rsidRPr="00472626">
        <w:rPr>
          <w:color w:val="000000" w:themeColor="text1"/>
        </w:rPr>
        <w:t xml:space="preserve"> </w:t>
      </w:r>
      <w:r w:rsidR="00CC4BAF" w:rsidRPr="00472626">
        <w:rPr>
          <w:color w:val="000000" w:themeColor="text1"/>
        </w:rPr>
        <w:t xml:space="preserve">in the </w:t>
      </w:r>
      <w:r w:rsidRPr="00472626">
        <w:rPr>
          <w:color w:val="000000" w:themeColor="text1"/>
        </w:rPr>
        <w:t>opposite direction from health factors. Income: r = −0.48 (moderate). Low-income states (MS, AL, LA) cluster at high cognitive decline; high-income states (MD, MA, NH) at low. Education: r = −0.29 (weak). Higher education = greater cognitive reserve. DC is an outlier</w:t>
      </w:r>
      <w:r w:rsidR="00CC4BAF" w:rsidRPr="00472626">
        <w:rPr>
          <w:color w:val="000000" w:themeColor="text1"/>
        </w:rPr>
        <w:t>,</w:t>
      </w:r>
      <w:r w:rsidRPr="00472626">
        <w:rPr>
          <w:color w:val="000000" w:themeColor="text1"/>
        </w:rPr>
        <w:t xml:space="preserve"> </w:t>
      </w:r>
      <w:r w:rsidR="00CC4BAF" w:rsidRPr="00472626">
        <w:rPr>
          <w:color w:val="000000" w:themeColor="text1"/>
        </w:rPr>
        <w:t>with high income and education,</w:t>
      </w:r>
      <w:r w:rsidRPr="00472626">
        <w:rPr>
          <w:color w:val="000000" w:themeColor="text1"/>
        </w:rPr>
        <w:t xml:space="preserve"> but high SCD, likely reflecting income inequality within the district.</w:t>
      </w:r>
    </w:p>
    <w:p w14:paraId="524809DB" w14:textId="61B1FD49" w:rsidR="00CC4BAF" w:rsidRPr="00472626" w:rsidRDefault="00CC4BAF" w:rsidP="00246830">
      <w:pPr>
        <w:spacing w:after="70"/>
        <w:rPr>
          <w:color w:val="000000" w:themeColor="text1"/>
        </w:rPr>
      </w:pPr>
      <w:r w:rsidRPr="00472626">
        <w:rPr>
          <w:noProof/>
          <w:color w:val="000000" w:themeColor="text1"/>
        </w:rPr>
        <w:drawing>
          <wp:inline distT="0" distB="0" distL="0" distR="0" wp14:anchorId="1FAE4866" wp14:editId="44918299">
            <wp:extent cx="6400800" cy="2312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t="11397" r="-478"/>
                    <a:stretch/>
                  </pic:blipFill>
                  <pic:spPr bwMode="auto">
                    <a:xfrm>
                      <a:off x="0" y="0"/>
                      <a:ext cx="6400800" cy="2312035"/>
                    </a:xfrm>
                    <a:prstGeom prst="rect">
                      <a:avLst/>
                    </a:prstGeom>
                    <a:noFill/>
                    <a:ln>
                      <a:noFill/>
                    </a:ln>
                    <a:extLst>
                      <a:ext uri="{53640926-AAD7-44D8-BBD7-CCE9431645EC}">
                        <a14:shadowObscured xmlns:a14="http://schemas.microsoft.com/office/drawing/2010/main"/>
                      </a:ext>
                    </a:extLst>
                  </pic:spPr>
                </pic:pic>
              </a:graphicData>
            </a:graphic>
          </wp:inline>
        </w:drawing>
      </w:r>
    </w:p>
    <w:p w14:paraId="0B757B18" w14:textId="77777777" w:rsidR="00913828" w:rsidRPr="00472626" w:rsidRDefault="00246830" w:rsidP="00246830">
      <w:pPr>
        <w:spacing w:after="70"/>
        <w:jc w:val="center"/>
        <w:rPr>
          <w:color w:val="000000" w:themeColor="text1"/>
        </w:rPr>
      </w:pPr>
      <w:r w:rsidRPr="00472626">
        <w:rPr>
          <w:i/>
          <w:iCs/>
          <w:color w:val="000000" w:themeColor="text1"/>
          <w:sz w:val="17"/>
          <w:szCs w:val="17"/>
        </w:rPr>
        <w:t>Figure 3: RQ6 (income) and RQ7 (education) vs cognitive decline. Each dot = one U.S. state. Census ACS 2018–2022.</w:t>
      </w:r>
    </w:p>
    <w:p w14:paraId="34FFFDAB"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RQ9: Early vs Severe Cognitive Decline</w:t>
      </w:r>
    </w:p>
    <w:p w14:paraId="5BB35A91" w14:textId="20357AD9" w:rsidR="00913828" w:rsidRPr="00472626" w:rsidRDefault="00246830" w:rsidP="00246830">
      <w:pPr>
        <w:spacing w:after="70"/>
        <w:rPr>
          <w:color w:val="000000" w:themeColor="text1"/>
        </w:rPr>
      </w:pPr>
      <w:r w:rsidRPr="00472626">
        <w:rPr>
          <w:color w:val="000000" w:themeColor="text1"/>
        </w:rPr>
        <w:t>‘Needs assistance with daily activities’ is very strongly correlated with the main target (r = 0.85). ‘Getting worse over time’: r = 0.27. ‘Talked to a doctor’: r = 0.06. This last finding is a key public health insight</w:t>
      </w:r>
      <w:r w:rsidR="00CC4BAF" w:rsidRPr="00472626">
        <w:rPr>
          <w:color w:val="000000" w:themeColor="text1"/>
        </w:rPr>
        <w:t>:</w:t>
      </w:r>
      <w:r w:rsidRPr="00472626">
        <w:rPr>
          <w:color w:val="000000" w:themeColor="text1"/>
        </w:rPr>
        <w:t xml:space="preserve"> people with severe cognitive decline are not more likely to have sought medical help, suggesting gaps in awareness or healthcare access.</w:t>
      </w:r>
    </w:p>
    <w:p w14:paraId="0AA65787" w14:textId="77777777" w:rsidR="00913828" w:rsidRPr="00472626" w:rsidRDefault="00913828" w:rsidP="00246830">
      <w:pPr>
        <w:spacing w:after="25"/>
        <w:rPr>
          <w:color w:val="000000" w:themeColor="text1"/>
        </w:rPr>
      </w:pPr>
    </w:p>
    <w:p w14:paraId="2A788A45" w14:textId="77777777" w:rsidR="00913828" w:rsidRPr="00472626" w:rsidRDefault="00246830" w:rsidP="00246830">
      <w:pPr>
        <w:pStyle w:val="Heading1"/>
        <w:spacing w:after="60"/>
        <w:rPr>
          <w:color w:val="000000" w:themeColor="text1"/>
          <w:sz w:val="28"/>
          <w:szCs w:val="28"/>
        </w:rPr>
      </w:pPr>
      <w:r w:rsidRPr="00472626">
        <w:rPr>
          <w:b/>
          <w:bCs/>
          <w:color w:val="000000" w:themeColor="text1"/>
          <w:sz w:val="28"/>
          <w:szCs w:val="28"/>
        </w:rPr>
        <w:t>4.  Final Data Product</w:t>
      </w:r>
    </w:p>
    <w:p w14:paraId="6D5D43B1" w14:textId="77777777" w:rsidR="00913828" w:rsidRPr="00472626" w:rsidRDefault="00246830" w:rsidP="00246830">
      <w:pPr>
        <w:spacing w:after="70"/>
        <w:rPr>
          <w:color w:val="000000" w:themeColor="text1"/>
        </w:rPr>
      </w:pPr>
      <w:r w:rsidRPr="00472626">
        <w:rPr>
          <w:color w:val="000000" w:themeColor="text1"/>
        </w:rPr>
        <w:t xml:space="preserve">Current outputs: fully documented </w:t>
      </w:r>
      <w:proofErr w:type="spellStart"/>
      <w:r w:rsidRPr="00472626">
        <w:rPr>
          <w:color w:val="000000" w:themeColor="text1"/>
        </w:rPr>
        <w:t>Jupyter</w:t>
      </w:r>
      <w:proofErr w:type="spellEnd"/>
      <w:r w:rsidRPr="00472626">
        <w:rPr>
          <w:color w:val="000000" w:themeColor="text1"/>
        </w:rPr>
        <w:t xml:space="preserve"> notebooks for ingestion and EDA; 12 visualizations covering all 9 research questions; merged CDC + Census analysis dataset; GitHub repository with organized folders and README documentation. The planned final product is an interactive U.S. choropleth map (</w:t>
      </w:r>
      <w:proofErr w:type="spellStart"/>
      <w:r w:rsidRPr="00472626">
        <w:rPr>
          <w:color w:val="000000" w:themeColor="text1"/>
        </w:rPr>
        <w:t>Streamlit</w:t>
      </w:r>
      <w:proofErr w:type="spellEnd"/>
      <w:r w:rsidRPr="00472626">
        <w:rPr>
          <w:color w:val="000000" w:themeColor="text1"/>
        </w:rPr>
        <w:t xml:space="preserve"> or </w:t>
      </w:r>
      <w:proofErr w:type="spellStart"/>
      <w:r w:rsidRPr="00472626">
        <w:rPr>
          <w:color w:val="000000" w:themeColor="text1"/>
        </w:rPr>
        <w:t>Plotly</w:t>
      </w:r>
      <w:proofErr w:type="spellEnd"/>
      <w:r w:rsidRPr="00472626">
        <w:rPr>
          <w:color w:val="000000" w:themeColor="text1"/>
        </w:rPr>
        <w:t xml:space="preserve"> Dash) where users can click any state to see its cognitive decline rate, national ranking, elevated risk factors, and links to state and national cognitive health resources. This makes the analysis accessible to policymakers and the general public, not just data analysts.</w:t>
      </w:r>
    </w:p>
    <w:p w14:paraId="2DFADA35" w14:textId="77777777" w:rsidR="00913828" w:rsidRPr="00472626" w:rsidRDefault="00913828" w:rsidP="00246830">
      <w:pPr>
        <w:spacing w:after="25"/>
        <w:rPr>
          <w:color w:val="000000" w:themeColor="text1"/>
        </w:rPr>
      </w:pPr>
    </w:p>
    <w:p w14:paraId="0B91F54E" w14:textId="77777777" w:rsidR="00913828" w:rsidRPr="00472626" w:rsidRDefault="00246830" w:rsidP="00246830">
      <w:pPr>
        <w:pStyle w:val="Heading1"/>
        <w:spacing w:after="60"/>
        <w:rPr>
          <w:color w:val="000000" w:themeColor="text1"/>
          <w:sz w:val="28"/>
          <w:szCs w:val="28"/>
        </w:rPr>
      </w:pPr>
      <w:r w:rsidRPr="00472626">
        <w:rPr>
          <w:b/>
          <w:bCs/>
          <w:color w:val="000000" w:themeColor="text1"/>
          <w:sz w:val="28"/>
          <w:szCs w:val="28"/>
        </w:rPr>
        <w:t>5.  Summary of Data Story</w:t>
      </w:r>
    </w:p>
    <w:p w14:paraId="797C60D6" w14:textId="2A0A6644" w:rsidR="00913828" w:rsidRPr="00472626" w:rsidRDefault="00246830" w:rsidP="00246830">
      <w:pPr>
        <w:spacing w:after="70"/>
        <w:rPr>
          <w:color w:val="000000" w:themeColor="text1"/>
        </w:rPr>
      </w:pPr>
      <w:r w:rsidRPr="00472626">
        <w:rPr>
          <w:color w:val="000000" w:themeColor="text1"/>
        </w:rPr>
        <w:t xml:space="preserve">The clearest story is geographic: Southern states have cognitive decline rates nearly twice </w:t>
      </w:r>
      <w:r w:rsidR="00CC4BAF" w:rsidRPr="00472626">
        <w:rPr>
          <w:color w:val="000000" w:themeColor="text1"/>
        </w:rPr>
        <w:t>those of Midwestern and New England states, and this pattern holds</w:t>
      </w:r>
      <w:r w:rsidRPr="00472626">
        <w:rPr>
          <w:color w:val="000000" w:themeColor="text1"/>
        </w:rPr>
        <w:t xml:space="preserve"> consistently across every dimension</w:t>
      </w:r>
      <w:r w:rsidR="00CC4BAF" w:rsidRPr="00472626">
        <w:rPr>
          <w:color w:val="000000" w:themeColor="text1"/>
        </w:rPr>
        <w:t>,</w:t>
      </w:r>
      <w:r w:rsidRPr="00472626">
        <w:rPr>
          <w:color w:val="000000" w:themeColor="text1"/>
        </w:rPr>
        <w:t xml:space="preserve"> health factors, socioeconomic factors, and both age groups. This convergence suggests compounding structural disadvantages rather than any single cause. The second story is about timing: the </w:t>
      </w:r>
      <w:r w:rsidR="00CC4BAF" w:rsidRPr="00472626">
        <w:rPr>
          <w:color w:val="000000" w:themeColor="text1"/>
        </w:rPr>
        <w:t>unexpectedly high rates in the 50-64 age group</w:t>
      </w:r>
      <w:r w:rsidRPr="00472626">
        <w:rPr>
          <w:color w:val="000000" w:themeColor="text1"/>
        </w:rPr>
        <w:t xml:space="preserve"> argue for earlier screening and intervention. The third story is actionable: strong correlations with modifiable behaviors (physical inactivity, poor health) suggest that targeted interventions could meaningfully reduce rates, while the near-zero correlation for doctor conversations points to a specific awareness and access gap worth addressing. Full details and charts: github.com/</w:t>
      </w:r>
      <w:proofErr w:type="spellStart"/>
      <w:r w:rsidRPr="00472626">
        <w:rPr>
          <w:color w:val="000000" w:themeColor="text1"/>
        </w:rPr>
        <w:t>ZeeMurphy</w:t>
      </w:r>
      <w:proofErr w:type="spellEnd"/>
      <w:r w:rsidRPr="00472626">
        <w:rPr>
          <w:color w:val="000000" w:themeColor="text1"/>
        </w:rPr>
        <w:t>/Data_205_Capstone_Project.</w:t>
      </w:r>
    </w:p>
    <w:p w14:paraId="339BF817" w14:textId="77777777" w:rsidR="00913828" w:rsidRPr="00472626" w:rsidRDefault="00913828" w:rsidP="00246830">
      <w:pPr>
        <w:spacing w:after="25"/>
        <w:rPr>
          <w:color w:val="000000" w:themeColor="text1"/>
        </w:rPr>
      </w:pPr>
    </w:p>
    <w:p w14:paraId="3B92CD3E" w14:textId="09D88AB5" w:rsidR="00472626" w:rsidRPr="00472626" w:rsidRDefault="00246830" w:rsidP="00246830">
      <w:pPr>
        <w:pStyle w:val="Heading1"/>
        <w:spacing w:after="60"/>
        <w:rPr>
          <w:b/>
          <w:bCs/>
          <w:color w:val="000000" w:themeColor="text1"/>
          <w:sz w:val="28"/>
          <w:szCs w:val="28"/>
        </w:rPr>
      </w:pPr>
      <w:r w:rsidRPr="00472626">
        <w:rPr>
          <w:b/>
          <w:bCs/>
          <w:color w:val="000000" w:themeColor="text1"/>
          <w:sz w:val="28"/>
          <w:szCs w:val="28"/>
        </w:rPr>
        <w:t>6.  Next Steps and Recommendations</w:t>
      </w:r>
    </w:p>
    <w:p w14:paraId="0D03F8CA" w14:textId="568173ED" w:rsidR="00913828" w:rsidRPr="00472626" w:rsidRDefault="00246830" w:rsidP="00246830">
      <w:pPr>
        <w:spacing w:after="70"/>
        <w:rPr>
          <w:color w:val="000000" w:themeColor="text1"/>
        </w:rPr>
      </w:pPr>
      <w:r w:rsidRPr="00472626">
        <w:rPr>
          <w:color w:val="000000" w:themeColor="text1"/>
        </w:rPr>
        <w:t xml:space="preserve">Maintaining from </w:t>
      </w:r>
      <w:r w:rsidR="00CC4BAF" w:rsidRPr="00472626">
        <w:rPr>
          <w:color w:val="000000" w:themeColor="text1"/>
        </w:rPr>
        <w:t>the original plan: multiple linear regression (RQ10),</w:t>
      </w:r>
      <w:r w:rsidRPr="00472626">
        <w:rPr>
          <w:color w:val="000000" w:themeColor="text1"/>
        </w:rPr>
        <w:t xml:space="preserve"> combining all predictors; Tableau choropleth map for RQ1. Changes: RQ8 revised to </w:t>
      </w:r>
      <w:r w:rsidR="00CC4BAF" w:rsidRPr="00472626">
        <w:rPr>
          <w:color w:val="000000" w:themeColor="text1"/>
        </w:rPr>
        <w:t>an age-group comparison (more informative than the Census age-structure</w:t>
      </w:r>
      <w:r w:rsidRPr="00472626">
        <w:rPr>
          <w:color w:val="000000" w:themeColor="text1"/>
        </w:rPr>
        <w:t xml:space="preserve"> variable). Adding hypothesis testing</w:t>
      </w:r>
      <w:r w:rsidR="00CC4BAF" w:rsidRPr="00472626">
        <w:rPr>
          <w:color w:val="000000" w:themeColor="text1"/>
        </w:rPr>
        <w:t>:</w:t>
      </w:r>
      <w:r w:rsidRPr="00472626">
        <w:rPr>
          <w:color w:val="000000" w:themeColor="text1"/>
        </w:rPr>
        <w:t xml:space="preserve"> two-sample t-test (South vs Midwest) and one-way ANOVA (by region) to formally validate geographic patterns. Dashboard upgraded from Tableau-only to </w:t>
      </w:r>
      <w:proofErr w:type="spellStart"/>
      <w:r w:rsidRPr="00472626">
        <w:rPr>
          <w:color w:val="000000" w:themeColor="text1"/>
        </w:rPr>
        <w:t>Streamlit</w:t>
      </w:r>
      <w:proofErr w:type="spellEnd"/>
      <w:r w:rsidRPr="00472626">
        <w:rPr>
          <w:color w:val="000000" w:themeColor="text1"/>
        </w:rPr>
        <w:t>/</w:t>
      </w:r>
      <w:proofErr w:type="spellStart"/>
      <w:r w:rsidRPr="00472626">
        <w:rPr>
          <w:color w:val="000000" w:themeColor="text1"/>
        </w:rPr>
        <w:t>Plotly</w:t>
      </w:r>
      <w:proofErr w:type="spellEnd"/>
      <w:r w:rsidRPr="00472626">
        <w:rPr>
          <w:color w:val="000000" w:themeColor="text1"/>
        </w:rPr>
        <w:t xml:space="preserve"> Dash for richer state-level interactivity with resource links. Future directions: individual-level microdata analysis, longitudinal tracking within states, spatial regression models.</w:t>
      </w:r>
    </w:p>
    <w:p w14:paraId="6C6C1FD8" w14:textId="77777777" w:rsidR="00913828" w:rsidRPr="00472626" w:rsidRDefault="00913828" w:rsidP="00246830">
      <w:pPr>
        <w:spacing w:after="25"/>
        <w:rPr>
          <w:color w:val="000000" w:themeColor="text1"/>
        </w:rPr>
      </w:pPr>
    </w:p>
    <w:p w14:paraId="0B0E8B3C" w14:textId="77777777" w:rsidR="00913828" w:rsidRPr="00472626" w:rsidRDefault="00246830" w:rsidP="00246830">
      <w:pPr>
        <w:pStyle w:val="Heading1"/>
        <w:spacing w:after="60"/>
        <w:rPr>
          <w:color w:val="000000" w:themeColor="text1"/>
          <w:sz w:val="28"/>
          <w:szCs w:val="28"/>
        </w:rPr>
      </w:pPr>
      <w:r w:rsidRPr="00472626">
        <w:rPr>
          <w:b/>
          <w:bCs/>
          <w:color w:val="000000" w:themeColor="text1"/>
          <w:sz w:val="28"/>
          <w:szCs w:val="28"/>
        </w:rPr>
        <w:t>7.  Reflections</w:t>
      </w:r>
    </w:p>
    <w:p w14:paraId="48002BED"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What Was Challenging</w:t>
      </w:r>
    </w:p>
    <w:p w14:paraId="49A2069A" w14:textId="44C3BEC4" w:rsidR="00913828" w:rsidRPr="00472626" w:rsidRDefault="00246830" w:rsidP="00246830">
      <w:pPr>
        <w:spacing w:after="70"/>
        <w:rPr>
          <w:color w:val="000000" w:themeColor="text1"/>
        </w:rPr>
      </w:pPr>
      <w:r w:rsidRPr="00472626">
        <w:rPr>
          <w:color w:val="000000" w:themeColor="text1"/>
        </w:rPr>
        <w:t>Understanding the CDC BRFSS structure took significant time</w:t>
      </w:r>
      <w:r w:rsidR="00CC4BAF" w:rsidRPr="00472626">
        <w:rPr>
          <w:color w:val="000000" w:themeColor="text1"/>
        </w:rPr>
        <w:t xml:space="preserve">; </w:t>
      </w:r>
      <w:r w:rsidRPr="00472626">
        <w:rPr>
          <w:color w:val="000000" w:themeColor="text1"/>
        </w:rPr>
        <w:t xml:space="preserve">a bug in the original code caused Puerto Rico to appear as the top state because the territory filter was missing, an important lesson about validating data before drawing conclusions. Managing 57% structural missingness in the cognitive decline variable required careful decisions about what to include. Switching to the live API introduced an unexpected </w:t>
      </w:r>
      <w:r w:rsidR="00472626" w:rsidRPr="00472626">
        <w:rPr>
          <w:color w:val="000000" w:themeColor="text1"/>
        </w:rPr>
        <w:t xml:space="preserve">column-naming issue (the API returns lowercase; the </w:t>
      </w:r>
      <w:r w:rsidRPr="00472626">
        <w:rPr>
          <w:color w:val="000000" w:themeColor="text1"/>
        </w:rPr>
        <w:t>code expected mixed case) that required debugging.</w:t>
      </w:r>
    </w:p>
    <w:p w14:paraId="67E4242D"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What Was Rewarding</w:t>
      </w:r>
    </w:p>
    <w:p w14:paraId="364CB135" w14:textId="4B92EA06" w:rsidR="00913828" w:rsidRPr="00472626" w:rsidRDefault="00246830" w:rsidP="00246830">
      <w:pPr>
        <w:spacing w:after="70"/>
        <w:rPr>
          <w:color w:val="000000" w:themeColor="text1"/>
        </w:rPr>
      </w:pPr>
      <w:r w:rsidRPr="00472626">
        <w:rPr>
          <w:color w:val="000000" w:themeColor="text1"/>
        </w:rPr>
        <w:t>The geographic story was compelling</w:t>
      </w:r>
      <w:r w:rsidR="00472626" w:rsidRPr="00472626">
        <w:rPr>
          <w:color w:val="000000" w:themeColor="text1"/>
        </w:rPr>
        <w:t xml:space="preserve">; </w:t>
      </w:r>
      <w:r w:rsidRPr="00472626">
        <w:rPr>
          <w:color w:val="000000" w:themeColor="text1"/>
        </w:rPr>
        <w:t xml:space="preserve">seeing the same Southern states appear consistently at the top across every dimension creates a coherent, policy-relevant narrative about structural inequality and health outcomes. Successfully merging two live APIs and producing </w:t>
      </w:r>
      <w:r w:rsidR="00472626" w:rsidRPr="00472626">
        <w:rPr>
          <w:color w:val="000000" w:themeColor="text1"/>
        </w:rPr>
        <w:t xml:space="preserve">a </w:t>
      </w:r>
      <w:r w:rsidRPr="00472626">
        <w:rPr>
          <w:color w:val="000000" w:themeColor="text1"/>
        </w:rPr>
        <w:t>fully reproducible analysis was also satisfying.</w:t>
      </w:r>
    </w:p>
    <w:p w14:paraId="4F9F2E97" w14:textId="77777777" w:rsidR="00472626" w:rsidRPr="00472626" w:rsidRDefault="00472626" w:rsidP="00246830">
      <w:pPr>
        <w:spacing w:after="70"/>
        <w:rPr>
          <w:color w:val="000000" w:themeColor="text1"/>
        </w:rPr>
      </w:pPr>
    </w:p>
    <w:p w14:paraId="37371672" w14:textId="77777777" w:rsidR="00913828" w:rsidRPr="00472626" w:rsidRDefault="00246830" w:rsidP="00246830">
      <w:pPr>
        <w:pStyle w:val="Heading2"/>
        <w:spacing w:after="40"/>
        <w:rPr>
          <w:color w:val="000000" w:themeColor="text1"/>
        </w:rPr>
      </w:pPr>
      <w:r w:rsidRPr="00472626">
        <w:rPr>
          <w:b/>
          <w:bCs/>
          <w:color w:val="000000" w:themeColor="text1"/>
          <w:sz w:val="23"/>
          <w:szCs w:val="23"/>
        </w:rPr>
        <w:t>What I Would Change Next Time</w:t>
      </w:r>
    </w:p>
    <w:p w14:paraId="54BB161F" w14:textId="5F4E9B6E" w:rsidR="00913828" w:rsidRPr="00472626" w:rsidRDefault="00246830" w:rsidP="00246830">
      <w:pPr>
        <w:spacing w:after="70"/>
        <w:rPr>
          <w:color w:val="000000" w:themeColor="text1"/>
        </w:rPr>
      </w:pPr>
      <w:r w:rsidRPr="00472626">
        <w:rPr>
          <w:color w:val="000000" w:themeColor="text1"/>
        </w:rPr>
        <w:t xml:space="preserve">Spend more time exploring </w:t>
      </w:r>
      <w:r w:rsidR="00472626" w:rsidRPr="00472626">
        <w:rPr>
          <w:color w:val="000000" w:themeColor="text1"/>
        </w:rPr>
        <w:t xml:space="preserve">the dataset structure before committing to research questions; </w:t>
      </w:r>
      <w:r w:rsidRPr="00472626">
        <w:rPr>
          <w:color w:val="000000" w:themeColor="text1"/>
        </w:rPr>
        <w:t>some questions (particularly RQ8 as originally framed) turned out to be less directly answerable than assumed. Also</w:t>
      </w:r>
      <w:r w:rsidR="00472626" w:rsidRPr="00472626">
        <w:rPr>
          <w:color w:val="000000" w:themeColor="text1"/>
        </w:rPr>
        <w:t>,</w:t>
      </w:r>
      <w:r w:rsidRPr="00472626">
        <w:rPr>
          <w:color w:val="000000" w:themeColor="text1"/>
        </w:rPr>
        <w:t xml:space="preserve"> plan for API data type and column name differences earlier.</w:t>
      </w:r>
    </w:p>
    <w:p w14:paraId="284C8F9C" w14:textId="491A720F" w:rsidR="00913828" w:rsidRPr="00472626" w:rsidRDefault="00246830" w:rsidP="00246830">
      <w:pPr>
        <w:pStyle w:val="Heading1"/>
        <w:spacing w:after="60"/>
        <w:rPr>
          <w:color w:val="000000" w:themeColor="text1"/>
          <w:sz w:val="28"/>
          <w:szCs w:val="28"/>
        </w:rPr>
      </w:pPr>
      <w:r w:rsidRPr="00472626">
        <w:rPr>
          <w:b/>
          <w:bCs/>
          <w:color w:val="000000" w:themeColor="text1"/>
          <w:sz w:val="28"/>
          <w:szCs w:val="28"/>
        </w:rPr>
        <w:t xml:space="preserve">8. </w:t>
      </w:r>
      <w:r w:rsidR="00472626" w:rsidRPr="00472626">
        <w:rPr>
          <w:b/>
          <w:bCs/>
          <w:color w:val="000000" w:themeColor="text1"/>
          <w:sz w:val="28"/>
          <w:szCs w:val="28"/>
        </w:rPr>
        <w:t>Acknowledgments</w:t>
      </w:r>
    </w:p>
    <w:p w14:paraId="1C2E202D" w14:textId="2012402C" w:rsidR="00913828" w:rsidRPr="00472626" w:rsidRDefault="00246830" w:rsidP="00246830">
      <w:pPr>
        <w:spacing w:after="70"/>
        <w:rPr>
          <w:color w:val="000000" w:themeColor="text1"/>
        </w:rPr>
      </w:pPr>
      <w:r w:rsidRPr="00472626">
        <w:rPr>
          <w:color w:val="000000" w:themeColor="text1"/>
        </w:rPr>
        <w:t xml:space="preserve">Thank you to Professor Lori </w:t>
      </w:r>
      <w:proofErr w:type="spellStart"/>
      <w:r w:rsidRPr="00472626">
        <w:rPr>
          <w:color w:val="000000" w:themeColor="text1"/>
        </w:rPr>
        <w:t>Perine</w:t>
      </w:r>
      <w:proofErr w:type="spellEnd"/>
      <w:r w:rsidRPr="00472626">
        <w:rPr>
          <w:color w:val="000000" w:themeColor="text1"/>
        </w:rPr>
        <w:t xml:space="preserve"> for detailed feedback on the project plan and progress presentations, guidance on CRISP-DM, and for emphasizing the importance of connecting EDA to research questions and documenting what is being maintained versus changed from the original plan. Thanks to the CDC BRFSS team and </w:t>
      </w:r>
      <w:r w:rsidR="00472626" w:rsidRPr="00472626">
        <w:rPr>
          <w:color w:val="000000" w:themeColor="text1"/>
        </w:rPr>
        <w:t xml:space="preserve">the </w:t>
      </w:r>
      <w:r w:rsidRPr="00472626">
        <w:rPr>
          <w:color w:val="000000" w:themeColor="text1"/>
        </w:rPr>
        <w:t xml:space="preserve">U.S. Census Bureau for making these datasets publicly available via API. </w:t>
      </w:r>
    </w:p>
    <w:sectPr w:rsidR="00913828" w:rsidRPr="00472626">
      <w:pgSz w:w="12240" w:h="15840"/>
      <w:pgMar w:top="1080" w:right="1080" w:bottom="1080" w:left="108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130460"/>
    <w:multiLevelType w:val="hybridMultilevel"/>
    <w:tmpl w:val="E9D66396"/>
    <w:lvl w:ilvl="0" w:tplc="DD9E78D4">
      <w:start w:val="1"/>
      <w:numFmt w:val="bullet"/>
      <w:lvlText w:val="•"/>
      <w:lvlJc w:val="left"/>
      <w:pPr>
        <w:ind w:left="720" w:hanging="360"/>
      </w:pPr>
    </w:lvl>
    <w:lvl w:ilvl="1" w:tplc="EA6CF16E">
      <w:numFmt w:val="decimal"/>
      <w:lvlText w:val=""/>
      <w:lvlJc w:val="left"/>
    </w:lvl>
    <w:lvl w:ilvl="2" w:tplc="B2CCBA72">
      <w:numFmt w:val="decimal"/>
      <w:lvlText w:val=""/>
      <w:lvlJc w:val="left"/>
    </w:lvl>
    <w:lvl w:ilvl="3" w:tplc="57C24818">
      <w:numFmt w:val="decimal"/>
      <w:lvlText w:val=""/>
      <w:lvlJc w:val="left"/>
    </w:lvl>
    <w:lvl w:ilvl="4" w:tplc="0FFC7776">
      <w:numFmt w:val="decimal"/>
      <w:lvlText w:val=""/>
      <w:lvlJc w:val="left"/>
    </w:lvl>
    <w:lvl w:ilvl="5" w:tplc="84BEF514">
      <w:numFmt w:val="decimal"/>
      <w:lvlText w:val=""/>
      <w:lvlJc w:val="left"/>
    </w:lvl>
    <w:lvl w:ilvl="6" w:tplc="989C1892">
      <w:numFmt w:val="decimal"/>
      <w:lvlText w:val=""/>
      <w:lvlJc w:val="left"/>
    </w:lvl>
    <w:lvl w:ilvl="7" w:tplc="F0A201EC">
      <w:numFmt w:val="decimal"/>
      <w:lvlText w:val=""/>
      <w:lvlJc w:val="left"/>
    </w:lvl>
    <w:lvl w:ilvl="8" w:tplc="3C5C043A">
      <w:numFmt w:val="decimal"/>
      <w:lvlText w:val=""/>
      <w:lvlJc w:val="left"/>
    </w:lvl>
  </w:abstractNum>
  <w:abstractNum w:abstractNumId="1" w15:restartNumberingAfterBreak="0">
    <w:nsid w:val="60FC5ED1"/>
    <w:multiLevelType w:val="hybridMultilevel"/>
    <w:tmpl w:val="6F50CF48"/>
    <w:lvl w:ilvl="0" w:tplc="A6187810">
      <w:start w:val="1"/>
      <w:numFmt w:val="bullet"/>
      <w:lvlText w:val="●"/>
      <w:lvlJc w:val="left"/>
      <w:pPr>
        <w:ind w:left="720" w:hanging="360"/>
      </w:pPr>
    </w:lvl>
    <w:lvl w:ilvl="1" w:tplc="5C943380">
      <w:start w:val="1"/>
      <w:numFmt w:val="bullet"/>
      <w:lvlText w:val="○"/>
      <w:lvlJc w:val="left"/>
      <w:pPr>
        <w:ind w:left="1440" w:hanging="360"/>
      </w:pPr>
    </w:lvl>
    <w:lvl w:ilvl="2" w:tplc="209A3AC6">
      <w:start w:val="1"/>
      <w:numFmt w:val="bullet"/>
      <w:lvlText w:val="■"/>
      <w:lvlJc w:val="left"/>
      <w:pPr>
        <w:ind w:left="2160" w:hanging="360"/>
      </w:pPr>
    </w:lvl>
    <w:lvl w:ilvl="3" w:tplc="1BE47D24">
      <w:start w:val="1"/>
      <w:numFmt w:val="bullet"/>
      <w:lvlText w:val="●"/>
      <w:lvlJc w:val="left"/>
      <w:pPr>
        <w:ind w:left="2880" w:hanging="360"/>
      </w:pPr>
    </w:lvl>
    <w:lvl w:ilvl="4" w:tplc="752A4074">
      <w:start w:val="1"/>
      <w:numFmt w:val="bullet"/>
      <w:lvlText w:val="○"/>
      <w:lvlJc w:val="left"/>
      <w:pPr>
        <w:ind w:left="3600" w:hanging="360"/>
      </w:pPr>
    </w:lvl>
    <w:lvl w:ilvl="5" w:tplc="37E248C8">
      <w:start w:val="1"/>
      <w:numFmt w:val="bullet"/>
      <w:lvlText w:val="■"/>
      <w:lvlJc w:val="left"/>
      <w:pPr>
        <w:ind w:left="4320" w:hanging="360"/>
      </w:pPr>
    </w:lvl>
    <w:lvl w:ilvl="6" w:tplc="94BC6A26">
      <w:start w:val="1"/>
      <w:numFmt w:val="bullet"/>
      <w:lvlText w:val="●"/>
      <w:lvlJc w:val="left"/>
      <w:pPr>
        <w:ind w:left="5040" w:hanging="360"/>
      </w:pPr>
    </w:lvl>
    <w:lvl w:ilvl="7" w:tplc="9B3A69B8">
      <w:start w:val="1"/>
      <w:numFmt w:val="bullet"/>
      <w:lvlText w:val="●"/>
      <w:lvlJc w:val="left"/>
      <w:pPr>
        <w:ind w:left="5760" w:hanging="360"/>
      </w:pPr>
    </w:lvl>
    <w:lvl w:ilvl="8" w:tplc="30ACA5B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28"/>
    <w:rsid w:val="000E7D3F"/>
    <w:rsid w:val="00246830"/>
    <w:rsid w:val="002945CA"/>
    <w:rsid w:val="00472626"/>
    <w:rsid w:val="00913828"/>
    <w:rsid w:val="009A025C"/>
    <w:rsid w:val="00CC4B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5F30"/>
  <w15:docId w15:val="{506E4B0F-F4FA-4DC5-B2E5-96C7ADF1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5">
    <w:name w:val="Plain Table 5"/>
    <w:basedOn w:val="TableNormal"/>
    <w:uiPriority w:val="45"/>
    <w:rsid w:val="0047262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47262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Style1">
    <w:name w:val="Style1"/>
    <w:basedOn w:val="Heading1"/>
    <w:link w:val="Style1Char"/>
    <w:qFormat/>
    <w:rsid w:val="00472626"/>
    <w:rPr>
      <w:b/>
      <w:bCs/>
      <w:color w:val="000000" w:themeColor="text1"/>
    </w:rPr>
  </w:style>
  <w:style w:type="character" w:customStyle="1" w:styleId="Heading1Char">
    <w:name w:val="Heading 1 Char"/>
    <w:basedOn w:val="DefaultParagraphFont"/>
    <w:link w:val="Heading1"/>
    <w:uiPriority w:val="9"/>
    <w:rsid w:val="00472626"/>
    <w:rPr>
      <w:color w:val="2E74B5"/>
      <w:sz w:val="32"/>
      <w:szCs w:val="32"/>
    </w:rPr>
  </w:style>
  <w:style w:type="character" w:customStyle="1" w:styleId="Style1Char">
    <w:name w:val="Style1 Char"/>
    <w:basedOn w:val="Heading1Char"/>
    <w:link w:val="Style1"/>
    <w:rsid w:val="00472626"/>
    <w:rPr>
      <w:b/>
      <w:bCs/>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Zivar S Murphy</cp:lastModifiedBy>
  <cp:revision>4</cp:revision>
  <dcterms:created xsi:type="dcterms:W3CDTF">2026-04-15T14:40:00Z</dcterms:created>
  <dcterms:modified xsi:type="dcterms:W3CDTF">2026-04-15T14:51:00Z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b156d740-0223-4458-880d-f34f366f1d0f</vt:lpwstr>
  </property>
</Properties>
</file>