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2ACCA" w14:textId="77777777" w:rsidR="00425FDD" w:rsidRPr="008C64E2" w:rsidRDefault="00804129" w:rsidP="008C64E2">
      <w:pPr>
        <w:spacing w:before="240" w:after="60"/>
        <w:jc w:val="center"/>
        <w:rPr>
          <w:rFonts w:asciiTheme="minorHAnsi" w:hAnsiTheme="minorHAnsi" w:cstheme="minorHAnsi"/>
          <w:color w:val="000000" w:themeColor="text1"/>
        </w:rPr>
      </w:pPr>
      <w:r w:rsidRPr="008C64E2">
        <w:rPr>
          <w:rFonts w:asciiTheme="minorHAnsi" w:hAnsiTheme="minorHAnsi" w:cstheme="minorHAnsi"/>
          <w:b/>
          <w:bCs/>
          <w:color w:val="000000" w:themeColor="text1"/>
        </w:rPr>
        <w:t>Cognitive Decline Risk Factors in U.S. Older Adults:</w:t>
      </w:r>
    </w:p>
    <w:p w14:paraId="1AEBAC88" w14:textId="7224EA2C" w:rsidR="00425FDD" w:rsidRPr="008C64E2" w:rsidRDefault="00804129" w:rsidP="008C64E2">
      <w:pPr>
        <w:spacing w:after="60"/>
        <w:jc w:val="center"/>
        <w:rPr>
          <w:rFonts w:asciiTheme="minorHAnsi" w:hAnsiTheme="minorHAnsi" w:cstheme="minorHAnsi"/>
          <w:color w:val="000000" w:themeColor="text1"/>
        </w:rPr>
      </w:pPr>
      <w:r w:rsidRPr="008C64E2">
        <w:rPr>
          <w:rFonts w:asciiTheme="minorHAnsi" w:hAnsiTheme="minorHAnsi" w:cstheme="minorHAnsi"/>
          <w:b/>
          <w:bCs/>
          <w:color w:val="000000" w:themeColor="text1"/>
        </w:rPr>
        <w:t>Geographic, Behavioral &amp; Socioeconomic Patterns</w:t>
      </w:r>
      <w:r w:rsidR="007F499B" w:rsidRPr="008C64E2">
        <w:rPr>
          <w:rFonts w:asciiTheme="minorHAnsi" w:hAnsiTheme="minorHAnsi" w:cstheme="minorHAnsi"/>
          <w:b/>
          <w:bCs/>
          <w:color w:val="000000" w:themeColor="text1"/>
        </w:rPr>
        <w:t xml:space="preserve">- </w:t>
      </w:r>
      <w:r w:rsidRPr="008C64E2">
        <w:rPr>
          <w:rFonts w:asciiTheme="minorHAnsi" w:hAnsiTheme="minorHAnsi" w:cstheme="minorHAnsi"/>
          <w:b/>
          <w:bCs/>
          <w:color w:val="000000" w:themeColor="text1"/>
        </w:rPr>
        <w:t>CDC BRFSS 2015–2022</w:t>
      </w:r>
    </w:p>
    <w:p w14:paraId="587B0E5F" w14:textId="77777777" w:rsidR="00425FDD" w:rsidRPr="008C64E2" w:rsidRDefault="00804129" w:rsidP="008C64E2">
      <w:pPr>
        <w:spacing w:after="60"/>
        <w:jc w:val="center"/>
        <w:rPr>
          <w:rFonts w:asciiTheme="minorHAnsi" w:hAnsiTheme="minorHAnsi" w:cstheme="minorHAnsi"/>
          <w:color w:val="000000" w:themeColor="text1"/>
        </w:rPr>
      </w:pPr>
      <w:r w:rsidRPr="008C64E2">
        <w:rPr>
          <w:rFonts w:asciiTheme="minorHAnsi" w:hAnsiTheme="minorHAnsi" w:cstheme="minorHAnsi"/>
          <w:color w:val="000000" w:themeColor="text1"/>
        </w:rPr>
        <w:t>Zivar Murphy</w:t>
      </w:r>
    </w:p>
    <w:p w14:paraId="03E32A8E" w14:textId="297814A3" w:rsidR="00425FDD" w:rsidRPr="008C64E2" w:rsidRDefault="00804129" w:rsidP="008C64E2">
      <w:pPr>
        <w:spacing w:after="60"/>
        <w:jc w:val="center"/>
        <w:rPr>
          <w:rFonts w:asciiTheme="minorHAnsi" w:hAnsiTheme="minorHAnsi" w:cstheme="minorHAnsi"/>
          <w:color w:val="000000" w:themeColor="text1"/>
        </w:rPr>
      </w:pPr>
      <w:r w:rsidRPr="008C64E2">
        <w:rPr>
          <w:rFonts w:asciiTheme="minorHAnsi" w:hAnsiTheme="minorHAnsi" w:cstheme="minorHAnsi"/>
          <w:color w:val="000000" w:themeColor="text1"/>
        </w:rPr>
        <w:t xml:space="preserve">DATA </w:t>
      </w:r>
      <w:r w:rsidR="000C4B39" w:rsidRPr="008C64E2">
        <w:rPr>
          <w:rFonts w:asciiTheme="minorHAnsi" w:hAnsiTheme="minorHAnsi" w:cstheme="minorHAnsi"/>
          <w:color w:val="000000" w:themeColor="text1"/>
        </w:rPr>
        <w:t>205 | CRN</w:t>
      </w:r>
      <w:r w:rsidRPr="008C64E2">
        <w:rPr>
          <w:rFonts w:asciiTheme="minorHAnsi" w:hAnsiTheme="minorHAnsi" w:cstheme="minorHAnsi"/>
          <w:color w:val="000000" w:themeColor="text1"/>
        </w:rPr>
        <w:t xml:space="preserve"> </w:t>
      </w:r>
      <w:r w:rsidR="000C4B39" w:rsidRPr="008C64E2">
        <w:rPr>
          <w:rFonts w:asciiTheme="minorHAnsi" w:hAnsiTheme="minorHAnsi" w:cstheme="minorHAnsi"/>
          <w:color w:val="000000" w:themeColor="text1"/>
        </w:rPr>
        <w:t>32036 | Capstone | Spring</w:t>
      </w:r>
      <w:r w:rsidRPr="008C64E2">
        <w:rPr>
          <w:rFonts w:asciiTheme="minorHAnsi" w:hAnsiTheme="minorHAnsi" w:cstheme="minorHAnsi"/>
          <w:color w:val="000000" w:themeColor="text1"/>
        </w:rPr>
        <w:t xml:space="preserve"> 2026</w:t>
      </w:r>
    </w:p>
    <w:p w14:paraId="3CE44D79" w14:textId="262FAABE" w:rsidR="00425FDD" w:rsidRPr="008C64E2" w:rsidRDefault="00821E1F" w:rsidP="008C64E2">
      <w:pPr>
        <w:spacing w:after="240"/>
        <w:jc w:val="center"/>
        <w:rPr>
          <w:rFonts w:asciiTheme="minorHAnsi" w:hAnsiTheme="minorHAnsi" w:cstheme="minorHAnsi"/>
          <w:color w:val="000000" w:themeColor="text1"/>
        </w:rPr>
      </w:pPr>
      <w:r w:rsidRPr="008C64E2">
        <w:rPr>
          <w:rFonts w:asciiTheme="minorHAnsi" w:hAnsiTheme="minorHAnsi" w:cstheme="minorHAnsi"/>
          <w:noProof/>
          <w:color w:val="000000" w:themeColor="text1"/>
        </w:rPr>
        <mc:AlternateContent>
          <mc:Choice Requires="wps">
            <w:drawing>
              <wp:anchor distT="0" distB="0" distL="114300" distR="114300" simplePos="0" relativeHeight="251659264" behindDoc="0" locked="0" layoutInCell="1" allowOverlap="1" wp14:anchorId="6ED367CF" wp14:editId="742556E2">
                <wp:simplePos x="0" y="0"/>
                <wp:positionH relativeFrom="column">
                  <wp:posOffset>685800</wp:posOffset>
                </wp:positionH>
                <wp:positionV relativeFrom="paragraph">
                  <wp:posOffset>329506</wp:posOffset>
                </wp:positionV>
                <wp:extent cx="4765906" cy="45719"/>
                <wp:effectExtent l="0" t="0" r="0" b="0"/>
                <wp:wrapNone/>
                <wp:docPr id="8" name="Shape 2">
                  <a:extLst xmlns:a="http://schemas.openxmlformats.org/drawingml/2006/main">
                    <a:ext uri="{FF2B5EF4-FFF2-40B4-BE49-F238E27FC236}">
                      <a16:creationId xmlns:a16="http://schemas.microsoft.com/office/drawing/2014/main" id="{9C016405-EF85-4E29-9BA8-4588C767BAC1}"/>
                    </a:ext>
                  </a:extLst>
                </wp:docPr>
                <wp:cNvGraphicFramePr/>
                <a:graphic xmlns:a="http://schemas.openxmlformats.org/drawingml/2006/main">
                  <a:graphicData uri="http://schemas.microsoft.com/office/word/2010/wordprocessingShape">
                    <wps:wsp>
                      <wps:cNvSpPr/>
                      <wps:spPr>
                        <a:xfrm flipV="1">
                          <a:off x="0" y="0"/>
                          <a:ext cx="4765906" cy="45719"/>
                        </a:xfrm>
                        <a:prstGeom prst="rect">
                          <a:avLst/>
                        </a:prstGeom>
                        <a:solidFill>
                          <a:srgbClr val="00A9CE"/>
                        </a:solidFill>
                        <a:ln/>
                      </wps:spPr>
                      <wps:bodyPr/>
                    </wps:wsp>
                  </a:graphicData>
                </a:graphic>
                <wp14:sizeRelH relativeFrom="margin">
                  <wp14:pctWidth>0</wp14:pctWidth>
                </wp14:sizeRelH>
                <wp14:sizeRelV relativeFrom="margin">
                  <wp14:pctHeight>0</wp14:pctHeight>
                </wp14:sizeRelV>
              </wp:anchor>
            </w:drawing>
          </mc:Choice>
          <mc:Fallback>
            <w:pict>
              <v:rect w14:anchorId="3A8AF4BD" id="Shape 2" o:spid="_x0000_s1026" style="position:absolute;margin-left:54pt;margin-top:25.95pt;width:375.2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" fillcolor="#00a9ce" stroked="f"/>
            </w:pict>
          </mc:Fallback>
        </mc:AlternateContent>
      </w:r>
      <w:r w:rsidR="00804129" w:rsidRPr="008C64E2">
        <w:rPr>
          <w:rFonts w:asciiTheme="minorHAnsi" w:hAnsiTheme="minorHAnsi" w:cstheme="minorHAnsi"/>
          <w:color w:val="000000" w:themeColor="text1"/>
        </w:rPr>
        <w:t xml:space="preserve">Professor Lori </w:t>
      </w:r>
      <w:r w:rsidR="000C4B39" w:rsidRPr="008C64E2">
        <w:rPr>
          <w:rFonts w:asciiTheme="minorHAnsi" w:hAnsiTheme="minorHAnsi" w:cstheme="minorHAnsi"/>
          <w:color w:val="000000" w:themeColor="text1"/>
        </w:rPr>
        <w:t>Perine | Montgomery</w:t>
      </w:r>
      <w:r w:rsidR="00804129" w:rsidRPr="008C64E2">
        <w:rPr>
          <w:rFonts w:asciiTheme="minorHAnsi" w:hAnsiTheme="minorHAnsi" w:cstheme="minorHAnsi"/>
          <w:color w:val="000000" w:themeColor="text1"/>
        </w:rPr>
        <w:t xml:space="preserve"> College</w:t>
      </w:r>
    </w:p>
    <w:p w14:paraId="511D565C" w14:textId="014DDFB0" w:rsidR="00821E1F" w:rsidRPr="008C64E2" w:rsidRDefault="00821E1F" w:rsidP="008C64E2">
      <w:pPr>
        <w:spacing w:after="240"/>
        <w:jc w:val="center"/>
        <w:rPr>
          <w:rFonts w:asciiTheme="minorHAnsi" w:hAnsiTheme="minorHAnsi" w:cstheme="minorHAnsi"/>
          <w:color w:val="000000" w:themeColor="text1"/>
        </w:rPr>
      </w:pPr>
    </w:p>
    <w:p w14:paraId="5B49E47D" w14:textId="2E15ABBB" w:rsidR="00425FDD" w:rsidRPr="008C64E2" w:rsidRDefault="00804129" w:rsidP="008C64E2">
      <w:pPr>
        <w:pStyle w:val="Heading1"/>
        <w:spacing w:before="0" w:after="0"/>
        <w:rPr>
          <w:rFonts w:asciiTheme="minorHAnsi" w:hAnsiTheme="minorHAnsi" w:cstheme="minorHAnsi"/>
          <w:color w:val="000000" w:themeColor="text1"/>
          <w:sz w:val="24"/>
          <w:szCs w:val="24"/>
        </w:rPr>
      </w:pPr>
      <w:r w:rsidRPr="008C64E2">
        <w:rPr>
          <w:rFonts w:asciiTheme="minorHAnsi" w:hAnsiTheme="minorHAnsi" w:cstheme="minorHAnsi"/>
          <w:color w:val="000000" w:themeColor="text1"/>
          <w:sz w:val="24"/>
          <w:szCs w:val="24"/>
        </w:rPr>
        <w:t>1. Introduction and Overview</w:t>
      </w:r>
    </w:p>
    <w:p w14:paraId="1069FF13" w14:textId="77777777" w:rsidR="001966C7" w:rsidRPr="008C64E2" w:rsidRDefault="001966C7" w:rsidP="008C64E2">
      <w:pPr>
        <w:pStyle w:val="Heading1"/>
        <w:spacing w:before="0" w:after="0"/>
        <w:rPr>
          <w:rFonts w:asciiTheme="minorHAnsi" w:hAnsiTheme="minorHAnsi" w:cstheme="minorHAnsi"/>
          <w:color w:val="000000" w:themeColor="text1"/>
          <w:sz w:val="24"/>
          <w:szCs w:val="24"/>
        </w:rPr>
      </w:pPr>
    </w:p>
    <w:p w14:paraId="3CCF8952" w14:textId="77777777" w:rsidR="00425FDD" w:rsidRPr="008C64E2" w:rsidRDefault="00804129" w:rsidP="008C64E2">
      <w:pPr>
        <w:rPr>
          <w:rFonts w:asciiTheme="minorHAnsi" w:hAnsiTheme="minorHAnsi" w:cstheme="minorHAnsi"/>
          <w:i/>
          <w:iCs/>
          <w:color w:val="000000" w:themeColor="text1"/>
        </w:rPr>
      </w:pPr>
      <w:r w:rsidRPr="008C64E2">
        <w:rPr>
          <w:rFonts w:asciiTheme="minorHAnsi" w:hAnsiTheme="minorHAnsi" w:cstheme="minorHAnsi"/>
          <w:b/>
          <w:bCs/>
          <w:i/>
          <w:iCs/>
          <w:color w:val="000000" w:themeColor="text1"/>
        </w:rPr>
        <w:t>Context and Motivation</w:t>
      </w:r>
    </w:p>
    <w:p w14:paraId="00D3D693" w14:textId="79B676D3"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t>Alzheimer's disease and related dementias represent one of the most significant and growing public health challenges in the United States. The number of Americans living with clinical Alzheimer's disease is projected to increase from 6.07 million in 2020 to 13.85 million by 2060</w:t>
      </w:r>
      <w:r w:rsidR="007F499B" w:rsidRPr="008C64E2">
        <w:rPr>
          <w:rFonts w:asciiTheme="minorHAnsi" w:hAnsiTheme="minorHAnsi" w:cstheme="minorHAnsi"/>
          <w:color w:val="000000" w:themeColor="text1"/>
        </w:rPr>
        <w:t xml:space="preserve">, </w:t>
      </w:r>
      <w:r w:rsidRPr="008C64E2">
        <w:rPr>
          <w:rFonts w:asciiTheme="minorHAnsi" w:hAnsiTheme="minorHAnsi" w:cstheme="minorHAnsi"/>
          <w:color w:val="000000" w:themeColor="text1"/>
        </w:rPr>
        <w:t>a 128% increase</w:t>
      </w:r>
      <w:r w:rsidR="007F499B" w:rsidRPr="008C64E2">
        <w:rPr>
          <w:rFonts w:asciiTheme="minorHAnsi" w:hAnsiTheme="minorHAnsi" w:cstheme="minorHAnsi"/>
          <w:color w:val="000000" w:themeColor="text1"/>
        </w:rPr>
        <w:t>,</w:t>
      </w:r>
      <w:r w:rsidRPr="008C64E2">
        <w:rPr>
          <w:rFonts w:asciiTheme="minorHAnsi" w:hAnsiTheme="minorHAnsi" w:cstheme="minorHAnsi"/>
          <w:color w:val="000000" w:themeColor="text1"/>
        </w:rPr>
        <w:t xml:space="preserve"> while annual care costs are expected to rise from $450 billion to $3.3 trillion over the same period (Rajan et al., 2021; Nandi et al., 2024). This escalating burden is borne not just by the healthcare system but</w:t>
      </w:r>
      <w:r w:rsidR="007F499B" w:rsidRPr="008C64E2">
        <w:rPr>
          <w:rFonts w:asciiTheme="minorHAnsi" w:hAnsiTheme="minorHAnsi" w:cstheme="minorHAnsi"/>
          <w:color w:val="000000" w:themeColor="text1"/>
        </w:rPr>
        <w:t>, overwhelmingly, by families: informal caregiving alone accounted</w:t>
      </w:r>
      <w:r w:rsidRPr="008C64E2">
        <w:rPr>
          <w:rFonts w:asciiTheme="minorHAnsi" w:hAnsiTheme="minorHAnsi" w:cstheme="minorHAnsi"/>
          <w:color w:val="000000" w:themeColor="text1"/>
        </w:rPr>
        <w:t xml:space="preserve"> for $254 billion in 2020, costs that are largely invisible in official statistics.</w:t>
      </w:r>
    </w:p>
    <w:p w14:paraId="59DB7954" w14:textId="3C07B7D8" w:rsidR="00425FDD" w:rsidRPr="008C64E2" w:rsidRDefault="00FA72D4"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Given these projections, identifying states with the greatest burden and modifiable factors is crucial for policymakers to deploy prevention resources effectively. This project uses survey data to map geographic variation in subjective cognitive decline and identify the health, behavioral, and socioeconomic factors that best explain it.</w:t>
      </w:r>
    </w:p>
    <w:p w14:paraId="0F249DF5" w14:textId="77777777" w:rsidR="001966C7" w:rsidRPr="008C64E2" w:rsidRDefault="001966C7" w:rsidP="008C64E2">
      <w:pPr>
        <w:rPr>
          <w:rFonts w:asciiTheme="minorHAnsi" w:hAnsiTheme="minorHAnsi" w:cstheme="minorHAnsi"/>
          <w:color w:val="000000" w:themeColor="text1"/>
        </w:rPr>
      </w:pPr>
    </w:p>
    <w:p w14:paraId="53CA60A2" w14:textId="77777777" w:rsidR="00425FDD" w:rsidRPr="008C64E2" w:rsidRDefault="00804129" w:rsidP="008C64E2">
      <w:pPr>
        <w:rPr>
          <w:rFonts w:asciiTheme="minorHAnsi" w:hAnsiTheme="minorHAnsi" w:cstheme="minorHAnsi"/>
          <w:i/>
          <w:iCs/>
          <w:color w:val="000000" w:themeColor="text1"/>
        </w:rPr>
      </w:pPr>
      <w:r w:rsidRPr="008C64E2">
        <w:rPr>
          <w:rFonts w:asciiTheme="minorHAnsi" w:hAnsiTheme="minorHAnsi" w:cstheme="minorHAnsi"/>
          <w:b/>
          <w:bCs/>
          <w:i/>
          <w:iCs/>
          <w:color w:val="000000" w:themeColor="text1"/>
        </w:rPr>
        <w:t>Data</w:t>
      </w:r>
    </w:p>
    <w:p w14:paraId="15EA1958" w14:textId="5CB9C3E3" w:rsidR="00425FDD" w:rsidRPr="008C64E2" w:rsidRDefault="004B6580"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ab/>
      </w:r>
      <w:r w:rsidR="00804129" w:rsidRPr="008C64E2">
        <w:rPr>
          <w:rFonts w:asciiTheme="minorHAnsi" w:hAnsiTheme="minorHAnsi" w:cstheme="minorHAnsi"/>
          <w:b/>
          <w:bCs/>
          <w:color w:val="000000" w:themeColor="text1"/>
        </w:rPr>
        <w:t>Primary Dataset</w:t>
      </w:r>
      <w:r w:rsidR="00FA72D4" w:rsidRPr="008C64E2">
        <w:rPr>
          <w:rFonts w:asciiTheme="minorHAnsi" w:hAnsiTheme="minorHAnsi" w:cstheme="minorHAnsi"/>
          <w:b/>
          <w:bCs/>
          <w:color w:val="000000" w:themeColor="text1"/>
        </w:rPr>
        <w:t xml:space="preserve">: </w:t>
      </w:r>
      <w:r w:rsidR="00804129" w:rsidRPr="008C64E2">
        <w:rPr>
          <w:rFonts w:asciiTheme="minorHAnsi" w:hAnsiTheme="minorHAnsi" w:cstheme="minorHAnsi"/>
          <w:b/>
          <w:bCs/>
          <w:color w:val="000000" w:themeColor="text1"/>
        </w:rPr>
        <w:t>CDC BRFSS Alzheimer's Disease and Healthy Aging Data (2015–2022)</w:t>
      </w:r>
      <w:r w:rsidRPr="008C64E2">
        <w:rPr>
          <w:rFonts w:asciiTheme="minorHAnsi" w:hAnsiTheme="minorHAnsi" w:cstheme="minorHAnsi"/>
          <w:b/>
          <w:bCs/>
          <w:color w:val="000000" w:themeColor="text1"/>
        </w:rPr>
        <w:t xml:space="preserve">. </w:t>
      </w:r>
      <w:r w:rsidR="00804129" w:rsidRPr="008C64E2">
        <w:rPr>
          <w:rFonts w:asciiTheme="minorHAnsi" w:hAnsiTheme="minorHAnsi" w:cstheme="minorHAnsi"/>
          <w:color w:val="000000" w:themeColor="text1"/>
        </w:rPr>
        <w:t>The main data source is the Centers for Disease Control and Prevention (CDC) Behavioral Risk Factor Surveillance System (BRFSS) Healthy Aging dataset, accessed live via the CDC SODA2 API (data.cdc.gov/Healthy-Aging/hfr9-rurv). The dataset contains 284,142 rows and 31 columns, representing self-reported health survey responses for adults aged 45 and older across U.S. states and territories from 2015 to 2022. Each row captures one survey question response for one location, one year, and one demographic subgroup. The dataset covers health topics including cognitive decline, mental health, physical activity, disability, smoking, and alcohol use.</w:t>
      </w:r>
    </w:p>
    <w:p w14:paraId="50DB0D6C" w14:textId="30E1B9D4" w:rsidR="00425FDD" w:rsidRPr="008C64E2" w:rsidRDefault="004B6580" w:rsidP="008C64E2">
      <w:pPr>
        <w:rPr>
          <w:rFonts w:asciiTheme="minorHAnsi" w:hAnsiTheme="minorHAnsi" w:cstheme="minorHAnsi"/>
          <w:color w:val="000000" w:themeColor="text1"/>
        </w:rPr>
      </w:pPr>
      <w:r w:rsidRPr="008C64E2">
        <w:rPr>
          <w:rFonts w:asciiTheme="minorHAnsi" w:hAnsiTheme="minorHAnsi" w:cstheme="minorHAnsi"/>
          <w:b/>
          <w:bCs/>
          <w:i/>
          <w:iCs/>
          <w:color w:val="000000" w:themeColor="text1"/>
        </w:rPr>
        <w:tab/>
      </w:r>
      <w:r w:rsidR="00804129" w:rsidRPr="008C64E2">
        <w:rPr>
          <w:rFonts w:asciiTheme="minorHAnsi" w:hAnsiTheme="minorHAnsi" w:cstheme="minorHAnsi"/>
          <w:b/>
          <w:bCs/>
          <w:color w:val="000000" w:themeColor="text1"/>
        </w:rPr>
        <w:t>Important inclusions and exclusions</w:t>
      </w:r>
      <w:r w:rsidRPr="008C64E2">
        <w:rPr>
          <w:rFonts w:asciiTheme="minorHAnsi" w:hAnsiTheme="minorHAnsi" w:cstheme="minorHAnsi"/>
          <w:b/>
          <w:bCs/>
          <w:color w:val="000000" w:themeColor="text1"/>
        </w:rPr>
        <w:t>.</w:t>
      </w:r>
      <w:r w:rsidR="00804129" w:rsidRPr="008C64E2">
        <w:rPr>
          <w:rFonts w:asciiTheme="minorHAnsi" w:hAnsiTheme="minorHAnsi" w:cstheme="minorHAnsi"/>
          <w:b/>
          <w:bCs/>
          <w:color w:val="000000" w:themeColor="text1"/>
        </w:rPr>
        <w:t xml:space="preserve"> </w:t>
      </w:r>
      <w:r w:rsidR="00804129" w:rsidRPr="008C64E2">
        <w:rPr>
          <w:rFonts w:asciiTheme="minorHAnsi" w:hAnsiTheme="minorHAnsi" w:cstheme="minorHAnsi"/>
          <w:color w:val="000000" w:themeColor="text1"/>
        </w:rPr>
        <w:t>The raw dataset includes 59 geographic entities</w:t>
      </w:r>
      <w:r w:rsidR="00FA72D4"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 xml:space="preserve"> 50 states, Washington D.C., U.S. territories (Puerto Rico, Guam, U.S. Virgin Islands), and regional rollups (Midwest, South, Northeast, West, and a national total). For this analysis, only the 50 states plus D.C. are retained (51 jurisdictions), since territories operate under different healthcare systems and regional rollups would introduce double-counting. The cognitive decline module is optional within BRFSS; states choose whether to include it each year, resulting in varying coverage. Coverage dropped sharply in 2017</w:t>
      </w:r>
      <w:r w:rsidR="00FA72D4"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2018 (only 10 and 6 states, respectively) before recovering in 2019 (49 states), which is an important limitation for year-over-year trend analysis.</w:t>
      </w:r>
    </w:p>
    <w:p w14:paraId="7E9EDADF" w14:textId="6A48F46E" w:rsidR="00425FDD" w:rsidRPr="008C64E2" w:rsidRDefault="004B6580" w:rsidP="008C64E2">
      <w:pPr>
        <w:rPr>
          <w:rFonts w:asciiTheme="minorHAnsi" w:hAnsiTheme="minorHAnsi" w:cstheme="minorHAnsi"/>
          <w:color w:val="000000" w:themeColor="text1"/>
        </w:rPr>
      </w:pPr>
      <w:r w:rsidRPr="008C64E2">
        <w:rPr>
          <w:rFonts w:asciiTheme="minorHAnsi" w:hAnsiTheme="minorHAnsi" w:cstheme="minorHAnsi"/>
          <w:b/>
          <w:bCs/>
          <w:i/>
          <w:iCs/>
          <w:color w:val="000000" w:themeColor="text1"/>
        </w:rPr>
        <w:lastRenderedPageBreak/>
        <w:tab/>
      </w:r>
      <w:r w:rsidR="00804129" w:rsidRPr="008C64E2">
        <w:rPr>
          <w:rFonts w:asciiTheme="minorHAnsi" w:hAnsiTheme="minorHAnsi" w:cstheme="minorHAnsi"/>
          <w:b/>
          <w:bCs/>
          <w:color w:val="000000" w:themeColor="text1"/>
        </w:rPr>
        <w:t>Secondary Dataset</w:t>
      </w:r>
      <w:r w:rsidR="00FA72D4" w:rsidRPr="008C64E2">
        <w:rPr>
          <w:rFonts w:asciiTheme="minorHAnsi" w:hAnsiTheme="minorHAnsi" w:cstheme="minorHAnsi"/>
          <w:b/>
          <w:bCs/>
          <w:color w:val="000000" w:themeColor="text1"/>
        </w:rPr>
        <w:t>:</w:t>
      </w:r>
      <w:r w:rsidR="00804129" w:rsidRPr="008C64E2">
        <w:rPr>
          <w:rFonts w:asciiTheme="minorHAnsi" w:hAnsiTheme="minorHAnsi" w:cstheme="minorHAnsi"/>
          <w:b/>
          <w:bCs/>
          <w:color w:val="000000" w:themeColor="text1"/>
        </w:rPr>
        <w:t xml:space="preserve"> U.S. Census American Community Survey (ACS) 2022 5-Year Estimates</w:t>
      </w:r>
      <w:r w:rsidRPr="008C64E2">
        <w:rPr>
          <w:rFonts w:asciiTheme="minorHAnsi" w:hAnsiTheme="minorHAnsi" w:cstheme="minorHAnsi"/>
          <w:b/>
          <w:bCs/>
          <w:color w:val="000000" w:themeColor="text1"/>
        </w:rPr>
        <w:t>.</w:t>
      </w:r>
      <w:r w:rsidRPr="008C64E2">
        <w:rPr>
          <w:rFonts w:asciiTheme="minorHAnsi" w:hAnsiTheme="minorHAnsi" w:cstheme="minorHAnsi"/>
          <w:b/>
          <w:bCs/>
          <w:i/>
          <w:iCs/>
          <w:color w:val="000000" w:themeColor="text1"/>
        </w:rPr>
        <w:t xml:space="preserve"> </w:t>
      </w:r>
      <w:r w:rsidR="00804129" w:rsidRPr="008C64E2">
        <w:rPr>
          <w:rFonts w:asciiTheme="minorHAnsi" w:hAnsiTheme="minorHAnsi" w:cstheme="minorHAnsi"/>
          <w:color w:val="000000" w:themeColor="text1"/>
        </w:rPr>
        <w:t>Socioeconomic variables</w:t>
      </w:r>
      <w:r w:rsidR="00FA72D4" w:rsidRPr="008C64E2">
        <w:rPr>
          <w:rFonts w:asciiTheme="minorHAnsi" w:hAnsiTheme="minorHAnsi" w:cstheme="minorHAnsi"/>
          <w:color w:val="000000" w:themeColor="text1"/>
        </w:rPr>
        <w:t xml:space="preserve">, </w:t>
      </w:r>
      <w:r w:rsidR="00804129" w:rsidRPr="008C64E2">
        <w:rPr>
          <w:rFonts w:asciiTheme="minorHAnsi" w:hAnsiTheme="minorHAnsi" w:cstheme="minorHAnsi"/>
          <w:color w:val="000000" w:themeColor="text1"/>
        </w:rPr>
        <w:t>median household income (DP03_0062E)</w:t>
      </w:r>
      <w:r w:rsidR="00FA72D4"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 xml:space="preserve"> and percentage of adults with a bachelor's degree or higher (DP02_0068PE)</w:t>
      </w:r>
      <w:r w:rsidR="00FA72D4"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 xml:space="preserve"> were sourced from the Census Bureau ACS API (api.census.gov) and joined to the CDC data at the state level using state abbreviation as the common key.</w:t>
      </w:r>
    </w:p>
    <w:p w14:paraId="0CA0FD90" w14:textId="15080AAE" w:rsidR="004B6580"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Project Goals</w:t>
      </w:r>
    </w:p>
    <w:p w14:paraId="35FADEAD" w14:textId="172C2EB1" w:rsidR="00425FDD" w:rsidRPr="008C64E2" w:rsidRDefault="004B6580" w:rsidP="008C64E2">
      <w:pPr>
        <w:rPr>
          <w:rFonts w:asciiTheme="minorHAnsi" w:hAnsiTheme="minorHAnsi" w:cstheme="minorHAnsi"/>
          <w:b/>
          <w:bCs/>
          <w:color w:val="000000" w:themeColor="text1"/>
        </w:rPr>
      </w:pPr>
      <w:r w:rsidRPr="008C64E2">
        <w:rPr>
          <w:rFonts w:asciiTheme="minorHAnsi" w:hAnsiTheme="minorHAnsi" w:cstheme="minorHAnsi"/>
          <w:b/>
          <w:bCs/>
          <w:i/>
          <w:iCs/>
          <w:color w:val="000000" w:themeColor="text1"/>
        </w:rPr>
        <w:tab/>
      </w:r>
      <w:r w:rsidR="00FA72D4" w:rsidRPr="008C64E2">
        <w:rPr>
          <w:rFonts w:asciiTheme="minorHAnsi" w:hAnsiTheme="minorHAnsi" w:cstheme="minorHAnsi"/>
          <w:color w:val="000000" w:themeColor="text1"/>
        </w:rPr>
        <w:t>This project pursues three interconnected goals: (1) to map geographic variation in self-reported cognitive decline across U.S. states and identify which states bear the highest burden; (2) to quantify the strength of the association between cognitive decline and a set of health, behavioral, and socioeconomic risk factors; and (3) to deliver an interactive data product, a publicly accessible web dashboard, that enables policymakers, researchers, and public health professionals to explore the data and identify actionable intervention targets.</w:t>
      </w:r>
    </w:p>
    <w:p w14:paraId="743D70F4" w14:textId="20222A5B" w:rsidR="00425FDD" w:rsidRPr="008C64E2" w:rsidRDefault="00FA72D4"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These goals are important because subjective cognitive decline (SCD) is an early, self-reported signal of risk; people who report SCD are more likely to develop clinically diagnosed dementia. Identifying state-level patterns and their correlates could inform targeted prevention campaigns, resource allocation, and health equity interventions, especially in underserved states.</w:t>
      </w:r>
    </w:p>
    <w:p w14:paraId="64682F63" w14:textId="77777777" w:rsidR="00B14D35" w:rsidRPr="008C64E2" w:rsidRDefault="00804129" w:rsidP="008C64E2">
      <w:pPr>
        <w:rPr>
          <w:rFonts w:asciiTheme="minorHAnsi" w:hAnsiTheme="minorHAnsi" w:cstheme="minorHAnsi"/>
          <w:i/>
          <w:iCs/>
          <w:color w:val="000000" w:themeColor="text1"/>
        </w:rPr>
      </w:pPr>
      <w:r w:rsidRPr="008C64E2">
        <w:rPr>
          <w:rFonts w:asciiTheme="minorHAnsi" w:hAnsiTheme="minorHAnsi" w:cstheme="minorHAnsi"/>
          <w:b/>
          <w:bCs/>
          <w:i/>
          <w:iCs/>
          <w:color w:val="000000" w:themeColor="text1"/>
        </w:rPr>
        <w:t>Tools and Methods</w:t>
      </w:r>
    </w:p>
    <w:p w14:paraId="084A66E8" w14:textId="0BEEC3B5"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i/>
          <w:iCs/>
          <w:color w:val="000000" w:themeColor="text1"/>
        </w:rPr>
        <w:tab/>
      </w:r>
      <w:r w:rsidR="00804129" w:rsidRPr="008C64E2">
        <w:rPr>
          <w:rFonts w:asciiTheme="minorHAnsi" w:hAnsiTheme="minorHAnsi" w:cstheme="minorHAnsi"/>
          <w:color w:val="000000" w:themeColor="text1"/>
        </w:rPr>
        <w:t xml:space="preserve">The analysis was conducted entirely in Python within a </w:t>
      </w:r>
      <w:proofErr w:type="spellStart"/>
      <w:r w:rsidR="00804129" w:rsidRPr="008C64E2">
        <w:rPr>
          <w:rFonts w:asciiTheme="minorHAnsi" w:hAnsiTheme="minorHAnsi" w:cstheme="minorHAnsi"/>
          <w:color w:val="000000" w:themeColor="text1"/>
        </w:rPr>
        <w:t>Jupyter</w:t>
      </w:r>
      <w:proofErr w:type="spellEnd"/>
      <w:r w:rsidR="00804129" w:rsidRPr="008C64E2">
        <w:rPr>
          <w:rFonts w:asciiTheme="minorHAnsi" w:hAnsiTheme="minorHAnsi" w:cstheme="minorHAnsi"/>
          <w:color w:val="000000" w:themeColor="text1"/>
        </w:rPr>
        <w:t xml:space="preserve"> Notebook environment. Core libraries included Pandas and NumPy for data manipulation, Matplotlib and Seaborn for static visualizations, Plotly for interactive maps and dashboards, Scikit-learn for multiple linear regression, and SciPy for statistical testing. Data was retrieved programmatically via the CDC SODA2 API and the U.S. Census ACS API. The final interactive dashboard was deployed via GitHub Pages. All code is available at github.com/</w:t>
      </w:r>
      <w:proofErr w:type="spellStart"/>
      <w:r w:rsidR="00804129" w:rsidRPr="008C64E2">
        <w:rPr>
          <w:rFonts w:asciiTheme="minorHAnsi" w:hAnsiTheme="minorHAnsi" w:cstheme="minorHAnsi"/>
          <w:color w:val="000000" w:themeColor="text1"/>
        </w:rPr>
        <w:t>ZeeMurphy</w:t>
      </w:r>
      <w:proofErr w:type="spellEnd"/>
      <w:r w:rsidR="00804129" w:rsidRPr="008C64E2">
        <w:rPr>
          <w:rFonts w:asciiTheme="minorHAnsi" w:hAnsiTheme="minorHAnsi" w:cstheme="minorHAnsi"/>
          <w:color w:val="000000" w:themeColor="text1"/>
        </w:rPr>
        <w:t>/Data_205_Capstone.</w:t>
      </w:r>
    </w:p>
    <w:p w14:paraId="0E09CEF2" w14:textId="77777777" w:rsidR="001966C7" w:rsidRPr="008C64E2" w:rsidRDefault="001966C7" w:rsidP="008C64E2">
      <w:pPr>
        <w:rPr>
          <w:rFonts w:asciiTheme="minorHAnsi" w:hAnsiTheme="minorHAnsi" w:cstheme="minorHAnsi"/>
          <w:color w:val="000000" w:themeColor="text1"/>
        </w:rPr>
      </w:pPr>
    </w:p>
    <w:p w14:paraId="295A968B" w14:textId="37476DDB" w:rsidR="00425FDD" w:rsidRPr="008C64E2" w:rsidRDefault="00804129" w:rsidP="008C64E2">
      <w:pPr>
        <w:pStyle w:val="Heading1"/>
        <w:spacing w:before="0" w:after="0"/>
        <w:rPr>
          <w:rFonts w:asciiTheme="minorHAnsi" w:hAnsiTheme="minorHAnsi" w:cstheme="minorHAnsi"/>
          <w:color w:val="000000" w:themeColor="text1"/>
          <w:sz w:val="24"/>
          <w:szCs w:val="24"/>
        </w:rPr>
      </w:pPr>
      <w:r w:rsidRPr="008C64E2">
        <w:rPr>
          <w:rFonts w:asciiTheme="minorHAnsi" w:hAnsiTheme="minorHAnsi" w:cstheme="minorHAnsi"/>
          <w:color w:val="000000" w:themeColor="text1"/>
          <w:sz w:val="24"/>
          <w:szCs w:val="24"/>
        </w:rPr>
        <w:t>2. Summary of Data Cleaning and Pre-Processing</w:t>
      </w:r>
    </w:p>
    <w:p w14:paraId="4A4E4479" w14:textId="77777777" w:rsidR="001966C7" w:rsidRPr="008C64E2" w:rsidRDefault="001966C7" w:rsidP="008C64E2">
      <w:pPr>
        <w:pStyle w:val="Heading1"/>
        <w:spacing w:before="0" w:after="0"/>
        <w:rPr>
          <w:rFonts w:asciiTheme="minorHAnsi" w:hAnsiTheme="minorHAnsi" w:cstheme="minorHAnsi"/>
          <w:color w:val="000000" w:themeColor="text1"/>
          <w:sz w:val="24"/>
          <w:szCs w:val="24"/>
        </w:rPr>
      </w:pPr>
    </w:p>
    <w:p w14:paraId="134E182F" w14:textId="5EA2BD3A" w:rsidR="00425FDD" w:rsidRPr="008C64E2" w:rsidRDefault="004B6580"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The raw CDC dataset required several critical pre-processing steps before analysis could begin. Full reproducible code is available in the project GitHub repository; the most important elements are summarized here.</w:t>
      </w:r>
    </w:p>
    <w:p w14:paraId="2AD0D1D1" w14:textId="77777777" w:rsidR="00B14D35"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Geographic Filtering</w:t>
      </w:r>
    </w:p>
    <w:p w14:paraId="360273B4" w14:textId="280E0BE1" w:rsidR="00425FDD" w:rsidRPr="008C64E2" w:rsidRDefault="00B14D35" w:rsidP="008C64E2">
      <w:pPr>
        <w:rPr>
          <w:rFonts w:asciiTheme="minorHAnsi" w:hAnsiTheme="minorHAnsi" w:cstheme="minorHAnsi"/>
          <w:b/>
          <w:bCs/>
          <w:color w:val="000000" w:themeColor="text1"/>
        </w:rPr>
      </w:pPr>
      <w:r w:rsidRPr="008C64E2">
        <w:rPr>
          <w:rFonts w:asciiTheme="minorHAnsi" w:hAnsiTheme="minorHAnsi" w:cstheme="minorHAnsi"/>
          <w:b/>
          <w:bCs/>
          <w:i/>
          <w:iCs/>
          <w:color w:val="000000" w:themeColor="text1"/>
        </w:rPr>
        <w:tab/>
      </w:r>
      <w:r w:rsidR="00804129" w:rsidRPr="008C64E2">
        <w:rPr>
          <w:rFonts w:asciiTheme="minorHAnsi" w:hAnsiTheme="minorHAnsi" w:cstheme="minorHAnsi"/>
          <w:color w:val="000000" w:themeColor="text1"/>
        </w:rPr>
        <w:t>The dataset's 59 locations were reduced to 51 jurisdictions (50 states + D.C.) by removing U.S. territories and all regional rollup records (Midwest, South, Northeast, West, national total). This step is non-trivial: retaining regional rollups would double-count observations already represented by individual states.</w:t>
      </w:r>
    </w:p>
    <w:p w14:paraId="663CAF3F" w14:textId="77777777" w:rsidR="00B14D35"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Stratification Fix (Critical)</w:t>
      </w:r>
    </w:p>
    <w:p w14:paraId="171D95D0" w14:textId="411BDE8D"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ab/>
      </w:r>
      <w:r w:rsidR="00804129" w:rsidRPr="008C64E2">
        <w:rPr>
          <w:rFonts w:asciiTheme="minorHAnsi" w:hAnsiTheme="minorHAnsi" w:cstheme="minorHAnsi"/>
          <w:color w:val="000000" w:themeColor="text1"/>
        </w:rPr>
        <w:t>Each survey question appears three times per state-year: once for the full 'Overall' population, once for the 50</w:t>
      </w:r>
      <w:r w:rsidR="00FA72D4"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 xml:space="preserve">64 age group, and once for the 65+ group. For the primary correlation and regression analyses, only 'Overall' rows were retained (Stratification1 = 'Overall', Stratification2 = </w:t>
      </w:r>
      <w:proofErr w:type="spellStart"/>
      <w:r w:rsidR="00804129" w:rsidRPr="008C64E2">
        <w:rPr>
          <w:rFonts w:asciiTheme="minorHAnsi" w:hAnsiTheme="minorHAnsi" w:cstheme="minorHAnsi"/>
          <w:color w:val="000000" w:themeColor="text1"/>
        </w:rPr>
        <w:t>NaN</w:t>
      </w:r>
      <w:proofErr w:type="spellEnd"/>
      <w:r w:rsidR="00804129" w:rsidRPr="008C64E2">
        <w:rPr>
          <w:rFonts w:asciiTheme="minorHAnsi" w:hAnsiTheme="minorHAnsi" w:cstheme="minorHAnsi"/>
          <w:color w:val="000000" w:themeColor="text1"/>
        </w:rPr>
        <w:t>). Without this filter, averaging across age-stratified rows would artificially dilute all correlations and underestimate effect sizes.</w:t>
      </w:r>
    </w:p>
    <w:p w14:paraId="4B736A9C" w14:textId="77777777" w:rsidR="00B14D35"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Variable Selection</w:t>
      </w:r>
    </w:p>
    <w:p w14:paraId="650902BC" w14:textId="25CDB253"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ab/>
      </w:r>
      <w:r w:rsidR="00804129" w:rsidRPr="008C64E2">
        <w:rPr>
          <w:rFonts w:asciiTheme="minorHAnsi" w:hAnsiTheme="minorHAnsi" w:cstheme="minorHAnsi"/>
          <w:color w:val="000000" w:themeColor="text1"/>
        </w:rPr>
        <w:t xml:space="preserve">From the full set of BRFSS survey questions, nine variables were selected for analysis: one primary outcome (cognitive decline interfering with social activities or household chores) </w:t>
      </w:r>
      <w:r w:rsidR="00804129" w:rsidRPr="008C64E2">
        <w:rPr>
          <w:rFonts w:asciiTheme="minorHAnsi" w:hAnsiTheme="minorHAnsi" w:cstheme="minorHAnsi"/>
          <w:color w:val="000000" w:themeColor="text1"/>
        </w:rPr>
        <w:lastRenderedPageBreak/>
        <w:t>and eight risk factors (poor or fair self-rated health, physical inactivity, mental distress, disability, smoking, binge drinking, depression, and mean unhealthy days per month).</w:t>
      </w:r>
    </w:p>
    <w:p w14:paraId="58918076" w14:textId="77777777" w:rsidR="00B14D35"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Pivot and State-Level Aggregation</w:t>
      </w:r>
    </w:p>
    <w:p w14:paraId="25BACCA7" w14:textId="60FA2301"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ab/>
      </w:r>
      <w:r w:rsidR="00804129" w:rsidRPr="008C64E2">
        <w:rPr>
          <w:rFonts w:asciiTheme="minorHAnsi" w:hAnsiTheme="minorHAnsi" w:cstheme="minorHAnsi"/>
          <w:color w:val="000000" w:themeColor="text1"/>
        </w:rPr>
        <w:t>The long-format data was pivoted to a state × year wide format using Pandas pivot_</w:t>
      </w:r>
      <w:proofErr w:type="gramStart"/>
      <w:r w:rsidR="00804129" w:rsidRPr="008C64E2">
        <w:rPr>
          <w:rFonts w:asciiTheme="minorHAnsi" w:hAnsiTheme="minorHAnsi" w:cstheme="minorHAnsi"/>
          <w:color w:val="000000" w:themeColor="text1"/>
        </w:rPr>
        <w:t>table(</w:t>
      </w:r>
      <w:proofErr w:type="gramEnd"/>
      <w:r w:rsidR="00804129" w:rsidRPr="008C64E2">
        <w:rPr>
          <w:rFonts w:asciiTheme="minorHAnsi" w:hAnsiTheme="minorHAnsi" w:cstheme="minorHAnsi"/>
          <w:color w:val="000000" w:themeColor="text1"/>
        </w:rPr>
        <w:t>), with one column per question. For correlation and regression analyses, state averages were computed by collapsing across all years each state reported, giving every state equal weight regardless of how many years it participated (Oregon reported all 8 years; Montana reported only 1).</w:t>
      </w:r>
    </w:p>
    <w:p w14:paraId="659D87FC" w14:textId="77777777" w:rsidR="00B14D35"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Census Data Merge</w:t>
      </w:r>
    </w:p>
    <w:p w14:paraId="0A49DACB" w14:textId="6776ACBB"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ab/>
      </w:r>
      <w:r w:rsidR="00804129" w:rsidRPr="008C64E2">
        <w:rPr>
          <w:rFonts w:asciiTheme="minorHAnsi" w:hAnsiTheme="minorHAnsi" w:cstheme="minorHAnsi"/>
          <w:color w:val="000000" w:themeColor="text1"/>
        </w:rPr>
        <w:t xml:space="preserve">State-level CDC averages were joined with ACS income and education data using state </w:t>
      </w:r>
      <w:r w:rsidR="0029523A" w:rsidRPr="008C64E2">
        <w:rPr>
          <w:rFonts w:asciiTheme="minorHAnsi" w:hAnsiTheme="minorHAnsi" w:cstheme="minorHAnsi"/>
          <w:color w:val="000000" w:themeColor="text1"/>
        </w:rPr>
        <w:t>abbreviations as keys</w:t>
      </w:r>
      <w:r w:rsidR="00804129" w:rsidRPr="008C64E2">
        <w:rPr>
          <w:rFonts w:asciiTheme="minorHAnsi" w:hAnsiTheme="minorHAnsi" w:cstheme="minorHAnsi"/>
          <w:color w:val="000000" w:themeColor="text1"/>
        </w:rPr>
        <w:t>, producing a final merged dataset of 51 states for socioeconomic analysis.</w:t>
      </w:r>
    </w:p>
    <w:p w14:paraId="5C4467EC" w14:textId="77777777" w:rsidR="00B14D35"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Type Conversion</w:t>
      </w:r>
    </w:p>
    <w:p w14:paraId="4E5B5318" w14:textId="4753B53B"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ab/>
      </w:r>
      <w:r w:rsidR="00804129" w:rsidRPr="008C64E2">
        <w:rPr>
          <w:rFonts w:asciiTheme="minorHAnsi" w:hAnsiTheme="minorHAnsi" w:cstheme="minorHAnsi"/>
          <w:color w:val="000000" w:themeColor="text1"/>
        </w:rPr>
        <w:t>The CDC API returns all values as strings. Data_Value and YearStart were converted to numeric using pd.to_numeric(errors='coerce'), and missing-value representations ('', ' ', 'NA', 'N/A') were standardized to pd.NA before conversion. Rows missing the primary outcome variable were dropped (233 rows removed, leaving 173 state-year observations with cognitive decline data).</w:t>
      </w:r>
    </w:p>
    <w:p w14:paraId="33755CBA" w14:textId="77777777" w:rsidR="001966C7" w:rsidRPr="008C64E2" w:rsidRDefault="001966C7" w:rsidP="008C64E2">
      <w:pPr>
        <w:rPr>
          <w:rFonts w:asciiTheme="minorHAnsi" w:hAnsiTheme="minorHAnsi" w:cstheme="minorHAnsi"/>
          <w:color w:val="000000" w:themeColor="text1"/>
        </w:rPr>
      </w:pPr>
    </w:p>
    <w:p w14:paraId="208FA626" w14:textId="4D206774" w:rsidR="00425FDD" w:rsidRPr="008C64E2" w:rsidRDefault="00804129" w:rsidP="008C64E2">
      <w:pPr>
        <w:pStyle w:val="Heading1"/>
        <w:spacing w:before="0" w:after="0"/>
        <w:rPr>
          <w:rFonts w:asciiTheme="minorHAnsi" w:hAnsiTheme="minorHAnsi" w:cstheme="minorHAnsi"/>
          <w:color w:val="000000" w:themeColor="text1"/>
          <w:sz w:val="24"/>
          <w:szCs w:val="24"/>
        </w:rPr>
      </w:pPr>
      <w:r w:rsidRPr="008C64E2">
        <w:rPr>
          <w:rFonts w:asciiTheme="minorHAnsi" w:hAnsiTheme="minorHAnsi" w:cstheme="minorHAnsi"/>
          <w:color w:val="000000" w:themeColor="text1"/>
          <w:sz w:val="24"/>
          <w:szCs w:val="24"/>
        </w:rPr>
        <w:t>3. Basic Descriptive Statistics</w:t>
      </w:r>
    </w:p>
    <w:p w14:paraId="6F2DBC8E" w14:textId="77777777" w:rsidR="00FB5F90" w:rsidRPr="008C64E2" w:rsidRDefault="00FB5F90" w:rsidP="008C64E2">
      <w:pPr>
        <w:pStyle w:val="Heading1"/>
        <w:spacing w:before="0" w:after="0"/>
        <w:rPr>
          <w:rFonts w:asciiTheme="minorHAnsi" w:hAnsiTheme="minorHAnsi" w:cstheme="minorHAnsi"/>
          <w:color w:val="000000" w:themeColor="text1"/>
          <w:sz w:val="24"/>
          <w:szCs w:val="24"/>
        </w:rPr>
      </w:pPr>
    </w:p>
    <w:p w14:paraId="41E5BEE5" w14:textId="715C72DF"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After cleaning and aggregating to state-level averages, the analysis dataset contains 51 states (all 50 states plus D.C.), with state-average values for the primary outcome and eight risk factors. Table 1 presents summary statistics for all analysis variables.</w:t>
      </w:r>
    </w:p>
    <w:p w14:paraId="25D92EC9" w14:textId="77777777" w:rsidR="00425FDD" w:rsidRPr="008C64E2" w:rsidRDefault="00425FDD" w:rsidP="008C64E2">
      <w:pPr>
        <w:rPr>
          <w:rFonts w:asciiTheme="minorHAnsi" w:hAnsiTheme="minorHAnsi" w:cstheme="minorHAnsi"/>
          <w:color w:val="000000" w:themeColor="text1"/>
        </w:rPr>
      </w:pPr>
    </w:p>
    <w:p w14:paraId="17E49576"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b/>
          <w:bCs/>
          <w:i/>
          <w:iCs/>
          <w:color w:val="000000" w:themeColor="text1"/>
        </w:rPr>
        <w:t>Table 1: Descriptive Statistics for Analysis Variables (State-Level Averages, N =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B14D35" w:rsidRPr="008C64E2" w14:paraId="7B0C675E" w14:textId="77777777" w:rsidTr="00821E1F">
        <w:tc>
          <w:tcPr>
            <w:tcW w:w="312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37468B70" w14:textId="77777777" w:rsidR="00425FDD" w:rsidRPr="008C64E2" w:rsidRDefault="00804129" w:rsidP="008C64E2">
            <w:pPr>
              <w:jc w:val="center"/>
              <w:rPr>
                <w:rFonts w:asciiTheme="minorHAnsi" w:hAnsiTheme="minorHAnsi" w:cstheme="minorHAnsi"/>
                <w:b/>
                <w:bCs/>
                <w:color w:val="FFFFFF" w:themeColor="background1"/>
              </w:rPr>
            </w:pPr>
            <w:r w:rsidRPr="008C64E2">
              <w:rPr>
                <w:rFonts w:asciiTheme="minorHAnsi" w:hAnsiTheme="minorHAnsi" w:cstheme="minorHAnsi"/>
                <w:b/>
                <w:bCs/>
                <w:color w:val="FFFFFF" w:themeColor="background1"/>
              </w:rPr>
              <w:t>Variable</w:t>
            </w:r>
          </w:p>
        </w:tc>
        <w:tc>
          <w:tcPr>
            <w:tcW w:w="156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28600AAD" w14:textId="77777777" w:rsidR="00425FDD" w:rsidRPr="008C64E2" w:rsidRDefault="00804129" w:rsidP="008C64E2">
            <w:pPr>
              <w:jc w:val="center"/>
              <w:rPr>
                <w:rFonts w:asciiTheme="minorHAnsi" w:hAnsiTheme="minorHAnsi" w:cstheme="minorHAnsi"/>
                <w:b/>
                <w:bCs/>
                <w:color w:val="FFFFFF" w:themeColor="background1"/>
              </w:rPr>
            </w:pPr>
            <w:r w:rsidRPr="008C64E2">
              <w:rPr>
                <w:rFonts w:asciiTheme="minorHAnsi" w:hAnsiTheme="minorHAnsi" w:cstheme="minorHAnsi"/>
                <w:b/>
                <w:bCs/>
                <w:color w:val="FFFFFF" w:themeColor="background1"/>
              </w:rPr>
              <w:t>Mean</w:t>
            </w:r>
          </w:p>
        </w:tc>
        <w:tc>
          <w:tcPr>
            <w:tcW w:w="156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0786512A" w14:textId="77777777" w:rsidR="00425FDD" w:rsidRPr="008C64E2" w:rsidRDefault="00804129" w:rsidP="008C64E2">
            <w:pPr>
              <w:jc w:val="center"/>
              <w:rPr>
                <w:rFonts w:asciiTheme="minorHAnsi" w:hAnsiTheme="minorHAnsi" w:cstheme="minorHAnsi"/>
                <w:b/>
                <w:bCs/>
                <w:color w:val="FFFFFF" w:themeColor="background1"/>
              </w:rPr>
            </w:pPr>
            <w:r w:rsidRPr="008C64E2">
              <w:rPr>
                <w:rFonts w:asciiTheme="minorHAnsi" w:hAnsiTheme="minorHAnsi" w:cstheme="minorHAnsi"/>
                <w:b/>
                <w:bCs/>
                <w:color w:val="FFFFFF" w:themeColor="background1"/>
              </w:rPr>
              <w:t>Std Dev</w:t>
            </w:r>
          </w:p>
        </w:tc>
        <w:tc>
          <w:tcPr>
            <w:tcW w:w="156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46E46238" w14:textId="77777777" w:rsidR="00425FDD" w:rsidRPr="008C64E2" w:rsidRDefault="00804129" w:rsidP="008C64E2">
            <w:pPr>
              <w:jc w:val="center"/>
              <w:rPr>
                <w:rFonts w:asciiTheme="minorHAnsi" w:hAnsiTheme="minorHAnsi" w:cstheme="minorHAnsi"/>
                <w:b/>
                <w:bCs/>
                <w:color w:val="FFFFFF" w:themeColor="background1"/>
              </w:rPr>
            </w:pPr>
            <w:r w:rsidRPr="008C64E2">
              <w:rPr>
                <w:rFonts w:asciiTheme="minorHAnsi" w:hAnsiTheme="minorHAnsi" w:cstheme="minorHAnsi"/>
                <w:b/>
                <w:bCs/>
                <w:color w:val="FFFFFF" w:themeColor="background1"/>
              </w:rPr>
              <w:t>Min</w:t>
            </w:r>
          </w:p>
        </w:tc>
        <w:tc>
          <w:tcPr>
            <w:tcW w:w="156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4298CD65" w14:textId="77777777" w:rsidR="00425FDD" w:rsidRPr="008C64E2" w:rsidRDefault="00804129" w:rsidP="008C64E2">
            <w:pPr>
              <w:jc w:val="center"/>
              <w:rPr>
                <w:rFonts w:asciiTheme="minorHAnsi" w:hAnsiTheme="minorHAnsi" w:cstheme="minorHAnsi"/>
                <w:b/>
                <w:bCs/>
                <w:color w:val="FFFFFF" w:themeColor="background1"/>
              </w:rPr>
            </w:pPr>
            <w:r w:rsidRPr="008C64E2">
              <w:rPr>
                <w:rFonts w:asciiTheme="minorHAnsi" w:hAnsiTheme="minorHAnsi" w:cstheme="minorHAnsi"/>
                <w:b/>
                <w:bCs/>
                <w:color w:val="FFFFFF" w:themeColor="background1"/>
              </w:rPr>
              <w:t>Max</w:t>
            </w:r>
          </w:p>
        </w:tc>
      </w:tr>
      <w:tr w:rsidR="00B14D35" w:rsidRPr="008C64E2" w14:paraId="677FFCB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66C86"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Cognitive Decline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E0F66"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37.0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170CE"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163E1"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27.7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18ECB"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50.7</w:t>
            </w:r>
          </w:p>
        </w:tc>
      </w:tr>
      <w:tr w:rsidR="00B14D35" w:rsidRPr="008C64E2" w14:paraId="487DFE09" w14:textId="77777777">
        <w:tc>
          <w:tcPr>
            <w:tcW w:w="312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40E6201"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Poor Health (%)</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6D2875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25.5</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59E2F26"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5.5</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083C741"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15.0</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A7FEB97"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43.3</w:t>
            </w:r>
          </w:p>
        </w:tc>
      </w:tr>
      <w:tr w:rsidR="00B14D35" w:rsidRPr="008C64E2" w14:paraId="0F0E5F6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7749D"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Physical Inactivity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1809A"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30.6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F7E6C"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1AD0E"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8D84A"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41.7</w:t>
            </w:r>
          </w:p>
        </w:tc>
      </w:tr>
      <w:tr w:rsidR="00B14D35" w:rsidRPr="008C64E2" w14:paraId="0F617F2A" w14:textId="77777777">
        <w:tc>
          <w:tcPr>
            <w:tcW w:w="312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56FE2EB"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Mental Distress (%)</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06110B0"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11.0</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6C9F61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2.0</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CF1EAFA"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6.0</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7D05BDF"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16.5</w:t>
            </w:r>
          </w:p>
        </w:tc>
      </w:tr>
      <w:tr w:rsidR="00B14D35" w:rsidRPr="008C64E2" w14:paraId="35F774B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81932"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Disability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B49B7"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36.4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7ADF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90D29"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24.2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A951D"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48.5</w:t>
            </w:r>
          </w:p>
        </w:tc>
      </w:tr>
      <w:tr w:rsidR="00B14D35" w:rsidRPr="008C64E2" w14:paraId="2F42D1C3" w14:textId="77777777">
        <w:tc>
          <w:tcPr>
            <w:tcW w:w="312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14581FF"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Smoking (%)</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298F499"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13.9</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10EC46DC"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3.5</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53671F04"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6.6</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361DC607"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24.0</w:t>
            </w:r>
          </w:p>
        </w:tc>
      </w:tr>
      <w:tr w:rsidR="00B14D35" w:rsidRPr="008C64E2" w14:paraId="30FD206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5E9CD"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Binge Drinking (%)</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72DA6"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9.6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EFA6B"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9AECB"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3660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15.0</w:t>
            </w:r>
          </w:p>
        </w:tc>
      </w:tr>
      <w:tr w:rsidR="00B14D35" w:rsidRPr="008C64E2" w14:paraId="35CA10EF" w14:textId="77777777">
        <w:tc>
          <w:tcPr>
            <w:tcW w:w="312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9D13322"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Depression (%)</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69A39B2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18.8</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448343E3"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3.0</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7AD041D0"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9.5</w:t>
            </w:r>
          </w:p>
        </w:tc>
        <w:tc>
          <w:tcPr>
            <w:tcW w:w="1560" w:type="dxa"/>
            <w:tcBorders>
              <w:top w:val="single" w:sz="1" w:space="0" w:color="AAAAAA"/>
              <w:left w:val="single" w:sz="1" w:space="0" w:color="AAAAAA"/>
              <w:bottom w:val="single" w:sz="1" w:space="0" w:color="AAAAAA"/>
              <w:right w:val="single" w:sz="1" w:space="0" w:color="AAAAAA"/>
            </w:tcBorders>
            <w:shd w:val="clear" w:color="auto" w:fill="E8EEF4"/>
            <w:tcMar>
              <w:top w:w="80" w:type="dxa"/>
              <w:left w:w="120" w:type="dxa"/>
              <w:bottom w:w="80" w:type="dxa"/>
              <w:right w:w="120" w:type="dxa"/>
            </w:tcMar>
          </w:tcPr>
          <w:p w14:paraId="2279CD6A"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25.7</w:t>
            </w:r>
          </w:p>
        </w:tc>
      </w:tr>
      <w:tr w:rsidR="00B14D35" w:rsidRPr="008C64E2" w14:paraId="31C2C2E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867DC" w14:textId="77777777" w:rsidR="00425FDD" w:rsidRPr="008C64E2" w:rsidRDefault="00804129" w:rsidP="008C64E2">
            <w:pPr>
              <w:rPr>
                <w:rFonts w:asciiTheme="minorHAnsi" w:hAnsiTheme="minorHAnsi" w:cstheme="minorHAnsi"/>
                <w:b/>
                <w:bCs/>
                <w:color w:val="000000" w:themeColor="text1"/>
              </w:rPr>
            </w:pPr>
            <w:r w:rsidRPr="008C64E2">
              <w:rPr>
                <w:rFonts w:asciiTheme="minorHAnsi" w:hAnsiTheme="minorHAnsi" w:cstheme="minorHAnsi"/>
                <w:b/>
                <w:bCs/>
                <w:color w:val="000000" w:themeColor="text1"/>
              </w:rPr>
              <w:t>Unhealthy Days (days)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51DE5"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88BCB"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0.7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7CE08"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3.4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7AFDF"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7.0</w:t>
            </w:r>
          </w:p>
        </w:tc>
      </w:tr>
    </w:tbl>
    <w:p w14:paraId="17BACA73"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i/>
          <w:iCs/>
          <w:color w:val="000000" w:themeColor="text1"/>
        </w:rPr>
        <w:t>Note: Values represent state-level averages across all reported years (2015–2022). Cognitive decline is an optional BRFSS module; risk factors are core BRFSS questions with near-complete annual coverage.</w:t>
      </w:r>
    </w:p>
    <w:p w14:paraId="73F556DF" w14:textId="5FC4AC61" w:rsidR="00425FDD" w:rsidRPr="008C64E2" w:rsidRDefault="00B030D1" w:rsidP="008C64E2">
      <w:pPr>
        <w:rPr>
          <w:rFonts w:asciiTheme="minorHAnsi" w:hAnsiTheme="minorHAnsi" w:cstheme="minorHAnsi"/>
          <w:color w:val="000000" w:themeColor="text1"/>
        </w:rPr>
      </w:pPr>
      <w:r w:rsidRPr="008C64E2">
        <w:rPr>
          <w:rFonts w:asciiTheme="minorHAnsi" w:hAnsiTheme="minorHAnsi" w:cstheme="minorHAnsi"/>
          <w:color w:val="000000" w:themeColor="text1"/>
        </w:rPr>
        <w:lastRenderedPageBreak/>
        <w:tab/>
        <w:t>The average cognitive decline rate across states is 37.0%, with a range from 27.7% in Tennessee to 50.7% in Tennessee, a 23-point difference indicating geography's major role. Poor health varies from 15.0% (likely Colorado or Hawaii) to 43.3% (Mississippi or West Virginia), reflecting health disparities between Southern and other states.</w:t>
      </w:r>
    </w:p>
    <w:p w14:paraId="637ECF54" w14:textId="2BB7C772" w:rsidR="00FB5F90" w:rsidRPr="008C64E2" w:rsidRDefault="00B030D1"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A key and counterintuitive finding from descriptive analysis is the age-group difference: adults aged 50</w:t>
      </w:r>
      <w:r w:rsidR="0029523A"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64 report an average cognitive decline rate of 44.1%, compared to only 29.9% for adults 65 and older.</w:t>
      </w:r>
    </w:p>
    <w:p w14:paraId="446B2C2B" w14:textId="77B30631" w:rsidR="00FB5F90" w:rsidRPr="008C64E2" w:rsidRDefault="00FB5F90" w:rsidP="008C64E2">
      <w:pPr>
        <w:jc w:val="center"/>
        <w:rPr>
          <w:rFonts w:asciiTheme="minorHAnsi" w:hAnsiTheme="minorHAnsi" w:cstheme="minorHAnsi"/>
          <w:b/>
          <w:bCs/>
          <w:color w:val="000000" w:themeColor="text1"/>
        </w:rPr>
      </w:pPr>
      <w:r w:rsidRPr="008C64E2">
        <w:rPr>
          <w:rFonts w:asciiTheme="minorHAnsi" w:hAnsiTheme="minorHAnsi" w:cstheme="minorHAnsi"/>
          <w:b/>
          <w:bCs/>
          <w:color w:val="000000" w:themeColor="text1"/>
        </w:rPr>
        <w:t>Average Cognitive Decline by Age Group</w:t>
      </w:r>
    </w:p>
    <w:p w14:paraId="3F190B96" w14:textId="6385F32F" w:rsidR="00FB5F90" w:rsidRPr="008C64E2" w:rsidRDefault="00FB5F90" w:rsidP="008C64E2">
      <w:pPr>
        <w:jc w:val="center"/>
        <w:rPr>
          <w:rFonts w:asciiTheme="minorHAnsi" w:hAnsiTheme="minorHAnsi" w:cstheme="minorHAnsi"/>
          <w:color w:val="000000" w:themeColor="text1"/>
        </w:rPr>
      </w:pPr>
      <w:r w:rsidRPr="008C64E2">
        <w:rPr>
          <w:rFonts w:asciiTheme="minorHAnsi" w:hAnsiTheme="minorHAnsi" w:cstheme="minorHAnsi"/>
          <w:noProof/>
          <w:color w:val="000000" w:themeColor="text1"/>
        </w:rPr>
        <w:drawing>
          <wp:inline distT="0" distB="0" distL="0" distR="0" wp14:anchorId="24CF3236" wp14:editId="6DAAD0FD">
            <wp:extent cx="2337092" cy="162145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51670" cy="1631565"/>
                    </a:xfrm>
                    <a:prstGeom prst="rect">
                      <a:avLst/>
                    </a:prstGeom>
                  </pic:spPr>
                </pic:pic>
              </a:graphicData>
            </a:graphic>
          </wp:inline>
        </w:drawing>
      </w:r>
    </w:p>
    <w:p w14:paraId="26129296" w14:textId="1631351D" w:rsidR="00425FDD" w:rsidRPr="008C64E2" w:rsidRDefault="00FB5F90" w:rsidP="008C64E2">
      <w:pPr>
        <w:rPr>
          <w:rFonts w:asciiTheme="minorHAnsi" w:hAnsiTheme="minorHAnsi" w:cstheme="minorHAnsi"/>
          <w:color w:val="000000" w:themeColor="text1"/>
        </w:rPr>
      </w:pPr>
      <w:r w:rsidRPr="008C64E2">
        <w:rPr>
          <w:rFonts w:asciiTheme="minorHAnsi" w:hAnsiTheme="minorHAnsi" w:cstheme="minorHAnsi"/>
          <w:noProof/>
          <w:color w:val="000000" w:themeColor="text1"/>
        </w:rPr>
        <mc:AlternateContent>
          <mc:Choice Requires="wps">
            <w:drawing>
              <wp:anchor distT="0" distB="0" distL="114300" distR="114300" simplePos="0" relativeHeight="251661312" behindDoc="0" locked="0" layoutInCell="1" allowOverlap="1" wp14:anchorId="3E3E41DD" wp14:editId="79CB9A4C">
                <wp:simplePos x="0" y="0"/>
                <wp:positionH relativeFrom="column">
                  <wp:posOffset>420370</wp:posOffset>
                </wp:positionH>
                <wp:positionV relativeFrom="paragraph">
                  <wp:posOffset>309880</wp:posOffset>
                </wp:positionV>
                <wp:extent cx="1051560" cy="0"/>
                <wp:effectExtent l="0" t="0" r="0" b="0"/>
                <wp:wrapNone/>
                <wp:docPr id="53" name="Rectangle 52"/>
                <wp:cNvGraphicFramePr/>
                <a:graphic xmlns:a="http://schemas.openxmlformats.org/drawingml/2006/main">
                  <a:graphicData uri="http://schemas.microsoft.com/office/word/2010/wordprocessingShape">
                    <wps:wsp>
                      <wps:cNvSpPr/>
                      <wps:spPr>
                        <a:xfrm>
                          <a:off x="0" y="0"/>
                          <a:ext cx="1051560" cy="0"/>
                        </a:xfrm>
                        <a:prstGeom prst="rect">
                          <a:avLst/>
                        </a:prstGeom>
                        <a:solidFill>
                          <a:srgbClr val="4172C4"/>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E891ACB" id="Rectangle 52" o:spid="_x0000_s1026" style="position:absolute;margin-left:33.1pt;margin-top:24.4pt;width:82.8pt;height: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" fillcolor="#4172c4"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2336" behindDoc="0" locked="0" layoutInCell="1" allowOverlap="1" wp14:anchorId="1E5961FE" wp14:editId="335AC0CC">
                <wp:simplePos x="0" y="0"/>
                <wp:positionH relativeFrom="column">
                  <wp:posOffset>420370</wp:posOffset>
                </wp:positionH>
                <wp:positionV relativeFrom="paragraph">
                  <wp:posOffset>-635</wp:posOffset>
                </wp:positionV>
                <wp:extent cx="1051560" cy="0"/>
                <wp:effectExtent l="0" t="0" r="0" b="0"/>
                <wp:wrapNone/>
                <wp:docPr id="54" name="TextBox 53"/>
                <wp:cNvGraphicFramePr/>
                <a:graphic xmlns:a="http://schemas.openxmlformats.org/drawingml/2006/main">
                  <a:graphicData uri="http://schemas.microsoft.com/office/word/2010/wordprocessingShape">
                    <wps:wsp>
                      <wps:cNvSpPr txBox="1"/>
                      <wps:spPr>
                        <a:xfrm>
                          <a:off x="0" y="0"/>
                          <a:ext cx="1051560" cy="0"/>
                        </a:xfrm>
                        <a:prstGeom prst="rect">
                          <a:avLst/>
                        </a:prstGeom>
                        <a:noFill/>
                      </wps:spPr>
                      <wps:txbx>
                        <w:txbxContent>
                          <w:p w14:paraId="5886BACA" w14:textId="77777777" w:rsidR="00FB5F90" w:rsidRDefault="00FB5F90" w:rsidP="00FB5F90">
                            <w:pPr>
                              <w:jc w:val="center"/>
                              <w:rPr>
                                <w:rFonts w:ascii="Calibri" w:hAnsi="Calibri" w:cstheme="minorBidi"/>
                                <w:b/>
                                <w:bCs/>
                                <w:color w:val="4172C4"/>
                                <w:kern w:val="24"/>
                                <w:sz w:val="32"/>
                                <w:szCs w:val="32"/>
                              </w:rPr>
                            </w:pPr>
                            <w:r>
                              <w:rPr>
                                <w:rFonts w:ascii="Calibri" w:hAnsi="Calibri" w:cstheme="minorBidi"/>
                                <w:b/>
                                <w:bCs/>
                                <w:color w:val="4172C4"/>
                                <w:kern w:val="24"/>
                                <w:sz w:val="32"/>
                                <w:szCs w:val="32"/>
                              </w:rPr>
                              <w:t>44.1%</w:t>
                            </w:r>
                          </w:p>
                        </w:txbxContent>
                      </wps:txbx>
                      <wps:bodyPr wrap="square">
                        <a:noAutofit/>
                      </wps:bodyPr>
                    </wps:wsp>
                  </a:graphicData>
                </a:graphic>
                <wp14:sizeRelV relativeFrom="margin">
                  <wp14:pctHeight>0</wp14:pctHeight>
                </wp14:sizeRelV>
              </wp:anchor>
            </w:drawing>
          </mc:Choice>
          <mc:Fallback>
            <w:pict>
              <v:shapetype w14:anchorId="1E5961FE" id="_x0000_t202" coordsize="21600,21600" o:spt="202" path="m,l,21600r21600,l21600,xe">
                <v:stroke joinstyle="miter"/>
                <v:path gradientshapeok="t" o:connecttype="rect"/>
              </v:shapetype>
              <v:shape id="TextBox 53" o:spid="_x0000_s1026" type="#_x0000_t202" style="position:absolute;margin-left:33.1pt;margin-top:-.05pt;width:82.8pt;height:0;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" filled="f" stroked="f">
                <v:textbox>
                  <w:txbxContent>
                    <w:p w14:paraId="5886BACA" w14:textId="77777777" w:rsidR="00FB5F90" w:rsidRDefault="00FB5F90" w:rsidP="00FB5F90">
                      <w:pPr>
                        <w:jc w:val="center"/>
                        <w:rPr>
                          <w:rFonts w:ascii="Calibri" w:hAnsi="Calibri" w:cstheme="minorBidi"/>
                          <w:b/>
                          <w:bCs/>
                          <w:color w:val="4172C4"/>
                          <w:kern w:val="24"/>
                          <w:sz w:val="32"/>
                          <w:szCs w:val="32"/>
                        </w:rPr>
                      </w:pPr>
                      <w:r>
                        <w:rPr>
                          <w:rFonts w:ascii="Calibri" w:hAnsi="Calibri" w:cstheme="minorBidi"/>
                          <w:b/>
                          <w:bCs/>
                          <w:color w:val="4172C4"/>
                          <w:kern w:val="24"/>
                          <w:sz w:val="32"/>
                          <w:szCs w:val="32"/>
                        </w:rPr>
                        <w:t>44.1%</w:t>
                      </w:r>
                    </w:p>
                  </w:txbxContent>
                </v:textbox>
              </v:shape>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3360" behindDoc="0" locked="0" layoutInCell="1" allowOverlap="1" wp14:anchorId="39056D01" wp14:editId="12EB5F41">
                <wp:simplePos x="0" y="0"/>
                <wp:positionH relativeFrom="column">
                  <wp:posOffset>1993265</wp:posOffset>
                </wp:positionH>
                <wp:positionV relativeFrom="paragraph">
                  <wp:posOffset>855345</wp:posOffset>
                </wp:positionV>
                <wp:extent cx="1051560" cy="0"/>
                <wp:effectExtent l="0" t="0" r="0" b="0"/>
                <wp:wrapNone/>
                <wp:docPr id="56" name="Rectangle 55"/>
                <wp:cNvGraphicFramePr/>
                <a:graphic xmlns:a="http://schemas.openxmlformats.org/drawingml/2006/main">
                  <a:graphicData uri="http://schemas.microsoft.com/office/word/2010/wordprocessingShape">
                    <wps:wsp>
                      <wps:cNvSpPr/>
                      <wps:spPr>
                        <a:xfrm>
                          <a:off x="0" y="0"/>
                          <a:ext cx="1051560" cy="0"/>
                        </a:xfrm>
                        <a:prstGeom prst="rect">
                          <a:avLst/>
                        </a:prstGeom>
                        <a:solidFill>
                          <a:srgbClr val="E87222"/>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397FE955" id="Rectangle 55" o:spid="_x0000_s1026" style="position:absolute;margin-left:156.95pt;margin-top:67.35pt;width:82.8pt;height: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" fillcolor="#e87222"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4384" behindDoc="0" locked="0" layoutInCell="1" allowOverlap="1" wp14:anchorId="751F01DB" wp14:editId="2838B1D5">
                <wp:simplePos x="0" y="0"/>
                <wp:positionH relativeFrom="column">
                  <wp:posOffset>1993265</wp:posOffset>
                </wp:positionH>
                <wp:positionV relativeFrom="paragraph">
                  <wp:posOffset>544195</wp:posOffset>
                </wp:positionV>
                <wp:extent cx="1051560" cy="0"/>
                <wp:effectExtent l="0" t="0" r="0" b="0"/>
                <wp:wrapNone/>
                <wp:docPr id="57" name="TextBox 56"/>
                <wp:cNvGraphicFramePr/>
                <a:graphic xmlns:a="http://schemas.openxmlformats.org/drawingml/2006/main">
                  <a:graphicData uri="http://schemas.microsoft.com/office/word/2010/wordprocessingShape">
                    <wps:wsp>
                      <wps:cNvSpPr txBox="1"/>
                      <wps:spPr>
                        <a:xfrm>
                          <a:off x="0" y="0"/>
                          <a:ext cx="1051560" cy="0"/>
                        </a:xfrm>
                        <a:prstGeom prst="rect">
                          <a:avLst/>
                        </a:prstGeom>
                        <a:noFill/>
                      </wps:spPr>
                      <wps:txbx>
                        <w:txbxContent>
                          <w:p w14:paraId="43B8C00F" w14:textId="77777777" w:rsidR="00FB5F90" w:rsidRDefault="00FB5F90" w:rsidP="00FB5F90">
                            <w:pPr>
                              <w:jc w:val="center"/>
                              <w:rPr>
                                <w:rFonts w:ascii="Calibri" w:hAnsi="Calibri" w:cstheme="minorBidi"/>
                                <w:b/>
                                <w:bCs/>
                                <w:color w:val="E87222"/>
                                <w:kern w:val="24"/>
                                <w:sz w:val="32"/>
                                <w:szCs w:val="32"/>
                              </w:rPr>
                            </w:pPr>
                            <w:r>
                              <w:rPr>
                                <w:rFonts w:ascii="Calibri" w:hAnsi="Calibri" w:cstheme="minorBidi"/>
                                <w:b/>
                                <w:bCs/>
                                <w:color w:val="E87222"/>
                                <w:kern w:val="24"/>
                                <w:sz w:val="32"/>
                                <w:szCs w:val="32"/>
                              </w:rPr>
                              <w:t>29.9%</w:t>
                            </w:r>
                          </w:p>
                        </w:txbxContent>
                      </wps:txbx>
                      <wps:bodyPr wrap="square">
                        <a:noAutofit/>
                      </wps:bodyPr>
                    </wps:wsp>
                  </a:graphicData>
                </a:graphic>
                <wp14:sizeRelV relativeFrom="margin">
                  <wp14:pctHeight>0</wp14:pctHeight>
                </wp14:sizeRelV>
              </wp:anchor>
            </w:drawing>
          </mc:Choice>
          <mc:Fallback>
            <w:pict>
              <v:shape w14:anchorId="751F01DB" id="TextBox 56" o:spid="_x0000_s1027" type="#_x0000_t202" style="position:absolute;margin-left:156.95pt;margin-top:42.85pt;width:82.8pt;height: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" filled="f" stroked="f">
                <v:textbox>
                  <w:txbxContent>
                    <w:p w14:paraId="43B8C00F" w14:textId="77777777" w:rsidR="00FB5F90" w:rsidRDefault="00FB5F90" w:rsidP="00FB5F90">
                      <w:pPr>
                        <w:jc w:val="center"/>
                        <w:rPr>
                          <w:rFonts w:ascii="Calibri" w:hAnsi="Calibri" w:cstheme="minorBidi"/>
                          <w:b/>
                          <w:bCs/>
                          <w:color w:val="E87222"/>
                          <w:kern w:val="24"/>
                          <w:sz w:val="32"/>
                          <w:szCs w:val="32"/>
                        </w:rPr>
                      </w:pPr>
                      <w:r>
                        <w:rPr>
                          <w:rFonts w:ascii="Calibri" w:hAnsi="Calibri" w:cstheme="minorBidi"/>
                          <w:b/>
                          <w:bCs/>
                          <w:color w:val="E87222"/>
                          <w:kern w:val="24"/>
                          <w:sz w:val="32"/>
                          <w:szCs w:val="32"/>
                        </w:rPr>
                        <w:t>29.9%</w:t>
                      </w:r>
                    </w:p>
                  </w:txbxContent>
                </v:textbox>
              </v:shape>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5408" behindDoc="0" locked="0" layoutInCell="1" allowOverlap="1" wp14:anchorId="5D2C6024" wp14:editId="6AB20E03">
                <wp:simplePos x="0" y="0"/>
                <wp:positionH relativeFrom="column">
                  <wp:posOffset>255905</wp:posOffset>
                </wp:positionH>
                <wp:positionV relativeFrom="paragraph">
                  <wp:posOffset>2003425</wp:posOffset>
                </wp:positionV>
                <wp:extent cx="2743200" cy="0"/>
                <wp:effectExtent l="0" t="0" r="0" b="0"/>
                <wp:wrapNone/>
                <wp:docPr id="59" name="Rectangle 58"/>
                <wp:cNvGraphicFramePr/>
                <a:graphic xmlns:a="http://schemas.openxmlformats.org/drawingml/2006/main">
                  <a:graphicData uri="http://schemas.microsoft.com/office/word/2010/wordprocessingShape">
                    <wps:wsp>
                      <wps:cNvSpPr/>
                      <wps:spPr>
                        <a:xfrm>
                          <a:off x="0" y="0"/>
                          <a:ext cx="274320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4B7004B6" id="Rectangle 58" o:spid="_x0000_s1026" style="position:absolute;margin-left:20.15pt;margin-top:157.75pt;width:3in;height: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" fillcolor="#ccd"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6432" behindDoc="0" locked="0" layoutInCell="1" allowOverlap="1" wp14:anchorId="32EC75D3" wp14:editId="4BD07B48">
                <wp:simplePos x="0" y="0"/>
                <wp:positionH relativeFrom="column">
                  <wp:posOffset>237490</wp:posOffset>
                </wp:positionH>
                <wp:positionV relativeFrom="paragraph">
                  <wp:posOffset>2003425</wp:posOffset>
                </wp:positionV>
                <wp:extent cx="91440" cy="0"/>
                <wp:effectExtent l="0" t="0" r="0" b="0"/>
                <wp:wrapNone/>
                <wp:docPr id="60" name="Rectangle 59"/>
                <wp:cNvGraphicFramePr/>
                <a:graphic xmlns:a="http://schemas.openxmlformats.org/drawingml/2006/main">
                  <a:graphicData uri="http://schemas.microsoft.com/office/word/2010/wordprocessingShape">
                    <wps:wsp>
                      <wps:cNvSpPr/>
                      <wps:spPr>
                        <a:xfrm>
                          <a:off x="0" y="0"/>
                          <a:ext cx="9144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5DEBF017" id="Rectangle 59" o:spid="_x0000_s1026" style="position:absolute;margin-left:18.7pt;margin-top:157.75pt;width:7.2pt;height: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" fillcolor="#ccd"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7456" behindDoc="0" locked="0" layoutInCell="1" allowOverlap="1" wp14:anchorId="6D5C85BA" wp14:editId="20CFEBBC">
                <wp:simplePos x="0" y="0"/>
                <wp:positionH relativeFrom="column">
                  <wp:posOffset>0</wp:posOffset>
                </wp:positionH>
                <wp:positionV relativeFrom="paragraph">
                  <wp:posOffset>1893570</wp:posOffset>
                </wp:positionV>
                <wp:extent cx="237744" cy="0"/>
                <wp:effectExtent l="0" t="0" r="0" b="0"/>
                <wp:wrapNone/>
                <wp:docPr id="61" name="TextBox 60"/>
                <wp:cNvGraphicFramePr/>
                <a:graphic xmlns:a="http://schemas.openxmlformats.org/drawingml/2006/main">
                  <a:graphicData uri="http://schemas.microsoft.com/office/word/2010/wordprocessingShape">
                    <wps:wsp>
                      <wps:cNvSpPr txBox="1"/>
                      <wps:spPr>
                        <a:xfrm>
                          <a:off x="0" y="0"/>
                          <a:ext cx="237744" cy="0"/>
                        </a:xfrm>
                        <a:prstGeom prst="rect">
                          <a:avLst/>
                        </a:prstGeom>
                        <a:noFill/>
                      </wps:spPr>
                      <wps:txbx>
                        <w:txbxContent>
                          <w:p w14:paraId="21ACCFC6" w14:textId="77777777" w:rsidR="00FB5F90" w:rsidRDefault="00FB5F90" w:rsidP="00FB5F90">
                            <w:pPr>
                              <w:jc w:val="right"/>
                              <w:rPr>
                                <w:rFonts w:ascii="Calibri" w:hAnsi="Calibri" w:cstheme="minorBidi"/>
                                <w:color w:val="1C1C2E"/>
                                <w:kern w:val="24"/>
                                <w:sz w:val="16"/>
                                <w:szCs w:val="16"/>
                              </w:rPr>
                            </w:pPr>
                            <w:r>
                              <w:rPr>
                                <w:rFonts w:ascii="Calibri" w:hAnsi="Calibri" w:cstheme="minorBidi"/>
                                <w:color w:val="1C1C2E"/>
                                <w:kern w:val="24"/>
                                <w:sz w:val="16"/>
                                <w:szCs w:val="16"/>
                              </w:rPr>
                              <w:t>0</w:t>
                            </w:r>
                          </w:p>
                        </w:txbxContent>
                      </wps:txbx>
                      <wps:bodyPr wrap="square">
                        <a:noAutofit/>
                      </wps:bodyPr>
                    </wps:wsp>
                  </a:graphicData>
                </a:graphic>
                <wp14:sizeRelV relativeFrom="margin">
                  <wp14:pctHeight>0</wp14:pctHeight>
                </wp14:sizeRelV>
              </wp:anchor>
            </w:drawing>
          </mc:Choice>
          <mc:Fallback>
            <w:pict>
              <v:shape w14:anchorId="6D5C85BA" id="TextBox 60" o:spid="_x0000_s1028" type="#_x0000_t202" style="position:absolute;margin-left:0;margin-top:149.1pt;width:18.7pt;height:0;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" filled="f" stroked="f">
                <v:textbox>
                  <w:txbxContent>
                    <w:p w14:paraId="21ACCFC6" w14:textId="77777777" w:rsidR="00FB5F90" w:rsidRDefault="00FB5F90" w:rsidP="00FB5F90">
                      <w:pPr>
                        <w:jc w:val="right"/>
                        <w:rPr>
                          <w:rFonts w:ascii="Calibri" w:hAnsi="Calibri" w:cstheme="minorBidi"/>
                          <w:color w:val="1C1C2E"/>
                          <w:kern w:val="24"/>
                          <w:sz w:val="16"/>
                          <w:szCs w:val="16"/>
                        </w:rPr>
                      </w:pPr>
                      <w:r>
                        <w:rPr>
                          <w:rFonts w:ascii="Calibri" w:hAnsi="Calibri" w:cstheme="minorBidi"/>
                          <w:color w:val="1C1C2E"/>
                          <w:kern w:val="24"/>
                          <w:sz w:val="16"/>
                          <w:szCs w:val="16"/>
                        </w:rPr>
                        <w:t>0</w:t>
                      </w:r>
                    </w:p>
                  </w:txbxContent>
                </v:textbox>
              </v:shape>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8480" behindDoc="0" locked="0" layoutInCell="1" allowOverlap="1" wp14:anchorId="6F691F77" wp14:editId="18164C1B">
                <wp:simplePos x="0" y="0"/>
                <wp:positionH relativeFrom="column">
                  <wp:posOffset>237490</wp:posOffset>
                </wp:positionH>
                <wp:positionV relativeFrom="paragraph">
                  <wp:posOffset>1619250</wp:posOffset>
                </wp:positionV>
                <wp:extent cx="91440" cy="0"/>
                <wp:effectExtent l="0" t="0" r="0" b="0"/>
                <wp:wrapNone/>
                <wp:docPr id="62" name="Rectangle 61"/>
                <wp:cNvGraphicFramePr/>
                <a:graphic xmlns:a="http://schemas.openxmlformats.org/drawingml/2006/main">
                  <a:graphicData uri="http://schemas.microsoft.com/office/word/2010/wordprocessingShape">
                    <wps:wsp>
                      <wps:cNvSpPr/>
                      <wps:spPr>
                        <a:xfrm>
                          <a:off x="0" y="0"/>
                          <a:ext cx="9144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40315F85" id="Rectangle 61" o:spid="_x0000_s1026" style="position:absolute;margin-left:18.7pt;margin-top:127.5pt;width:7.2pt;height:0;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" fillcolor="#ccd"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69504" behindDoc="0" locked="0" layoutInCell="1" allowOverlap="1" wp14:anchorId="3FBFC79F" wp14:editId="2A725E35">
                <wp:simplePos x="0" y="0"/>
                <wp:positionH relativeFrom="column">
                  <wp:posOffset>237490</wp:posOffset>
                </wp:positionH>
                <wp:positionV relativeFrom="paragraph">
                  <wp:posOffset>1235710</wp:posOffset>
                </wp:positionV>
                <wp:extent cx="91440" cy="0"/>
                <wp:effectExtent l="0" t="0" r="0" b="0"/>
                <wp:wrapNone/>
                <wp:docPr id="64" name="Rectangle 63"/>
                <wp:cNvGraphicFramePr/>
                <a:graphic xmlns:a="http://schemas.openxmlformats.org/drawingml/2006/main">
                  <a:graphicData uri="http://schemas.microsoft.com/office/word/2010/wordprocessingShape">
                    <wps:wsp>
                      <wps:cNvSpPr/>
                      <wps:spPr>
                        <a:xfrm>
                          <a:off x="0" y="0"/>
                          <a:ext cx="9144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0155DDF1" id="Rectangle 63" o:spid="_x0000_s1026" style="position:absolute;margin-left:18.7pt;margin-top:97.3pt;width:7.2pt;height:0;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" fillcolor="#ccd"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70528" behindDoc="0" locked="0" layoutInCell="1" allowOverlap="1" wp14:anchorId="034A38A6" wp14:editId="0094EC27">
                <wp:simplePos x="0" y="0"/>
                <wp:positionH relativeFrom="column">
                  <wp:posOffset>237490</wp:posOffset>
                </wp:positionH>
                <wp:positionV relativeFrom="paragraph">
                  <wp:posOffset>851535</wp:posOffset>
                </wp:positionV>
                <wp:extent cx="91440" cy="0"/>
                <wp:effectExtent l="0" t="0" r="0" b="0"/>
                <wp:wrapNone/>
                <wp:docPr id="66" name="Rectangle 65"/>
                <wp:cNvGraphicFramePr/>
                <a:graphic xmlns:a="http://schemas.openxmlformats.org/drawingml/2006/main">
                  <a:graphicData uri="http://schemas.microsoft.com/office/word/2010/wordprocessingShape">
                    <wps:wsp>
                      <wps:cNvSpPr/>
                      <wps:spPr>
                        <a:xfrm>
                          <a:off x="0" y="0"/>
                          <a:ext cx="9144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11688E8" id="Rectangle 65" o:spid="_x0000_s1026" style="position:absolute;margin-left:18.7pt;margin-top:67.05pt;width:7.2pt;height:0;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" fillcolor="#ccd"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71552" behindDoc="0" locked="0" layoutInCell="1" allowOverlap="1" wp14:anchorId="36C7EC3C" wp14:editId="6C343FEC">
                <wp:simplePos x="0" y="0"/>
                <wp:positionH relativeFrom="column">
                  <wp:posOffset>237490</wp:posOffset>
                </wp:positionH>
                <wp:positionV relativeFrom="paragraph">
                  <wp:posOffset>467360</wp:posOffset>
                </wp:positionV>
                <wp:extent cx="91440" cy="0"/>
                <wp:effectExtent l="0" t="0" r="0" b="0"/>
                <wp:wrapNone/>
                <wp:docPr id="68" name="Rectangle 67"/>
                <wp:cNvGraphicFramePr/>
                <a:graphic xmlns:a="http://schemas.openxmlformats.org/drawingml/2006/main">
                  <a:graphicData uri="http://schemas.microsoft.com/office/word/2010/wordprocessingShape">
                    <wps:wsp>
                      <wps:cNvSpPr/>
                      <wps:spPr>
                        <a:xfrm>
                          <a:off x="0" y="0"/>
                          <a:ext cx="9144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D8F80FB" id="Rectangle 67" o:spid="_x0000_s1026" style="position:absolute;margin-left:18.7pt;margin-top:36.8pt;width:7.2pt;height:0;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" fillcolor="#ccd" stroked="f" strokeweight=".5pt"/>
            </w:pict>
          </mc:Fallback>
        </mc:AlternateContent>
      </w:r>
      <w:r w:rsidRPr="008C64E2">
        <w:rPr>
          <w:rFonts w:asciiTheme="minorHAnsi" w:hAnsiTheme="minorHAnsi" w:cstheme="minorHAnsi"/>
          <w:noProof/>
          <w:color w:val="000000" w:themeColor="text1"/>
        </w:rPr>
        <mc:AlternateContent>
          <mc:Choice Requires="wps">
            <w:drawing>
              <wp:anchor distT="0" distB="0" distL="114300" distR="114300" simplePos="0" relativeHeight="251672576" behindDoc="0" locked="0" layoutInCell="1" allowOverlap="1" wp14:anchorId="5CDA0C6D" wp14:editId="2B8543F0">
                <wp:simplePos x="0" y="0"/>
                <wp:positionH relativeFrom="column">
                  <wp:posOffset>237490</wp:posOffset>
                </wp:positionH>
                <wp:positionV relativeFrom="paragraph">
                  <wp:posOffset>83185</wp:posOffset>
                </wp:positionV>
                <wp:extent cx="91440" cy="0"/>
                <wp:effectExtent l="0" t="0" r="0" b="0"/>
                <wp:wrapNone/>
                <wp:docPr id="70" name="Rectangle 69"/>
                <wp:cNvGraphicFramePr/>
                <a:graphic xmlns:a="http://schemas.openxmlformats.org/drawingml/2006/main">
                  <a:graphicData uri="http://schemas.microsoft.com/office/word/2010/wordprocessingShape">
                    <wps:wsp>
                      <wps:cNvSpPr/>
                      <wps:spPr>
                        <a:xfrm>
                          <a:off x="0" y="0"/>
                          <a:ext cx="91440" cy="0"/>
                        </a:xfrm>
                        <a:prstGeom prst="rect">
                          <a:avLst/>
                        </a:prstGeom>
                        <a:solidFill>
                          <a:srgbClr val="CCCCDD"/>
                        </a:solidFill>
                        <a:ln>
                          <a:noFill/>
                        </a:ln>
                      </wps:spPr>
                      <wps:style>
                        <a:lnRef idx="1">
                          <a:schemeClr val="accent1"/>
                        </a:lnRef>
                        <a:fillRef idx="3">
                          <a:schemeClr val="accent1"/>
                        </a:fillRef>
                        <a:effectRef idx="2">
                          <a:schemeClr val="accent1"/>
                        </a:effectRef>
                        <a:fontRef idx="minor">
                          <a:schemeClr val="lt1"/>
                        </a:fontRef>
                      </wps:style>
                      <wps:bodyPr rtlCol="0" anchor="ctr"/>
                    </wps:wsp>
                  </a:graphicData>
                </a:graphic>
                <wp14:sizeRelV relativeFrom="margin">
                  <wp14:pctHeight>0</wp14:pctHeight>
                </wp14:sizeRelV>
              </wp:anchor>
            </w:drawing>
          </mc:Choice>
          <mc:Fallback>
            <w:pict>
              <v:rect w14:anchorId="5F79B874" id="Rectangle 69" o:spid="_x0000_s1026" style="position:absolute;margin-left:18.7pt;margin-top:6.55pt;width:7.2pt;height:0;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" fillcolor="#ccd" stroked="f" strokeweight=".5pt"/>
            </w:pict>
          </mc:Fallback>
        </mc:AlternateContent>
      </w:r>
      <w:r w:rsidR="00804129" w:rsidRPr="008C64E2">
        <w:rPr>
          <w:rFonts w:asciiTheme="minorHAnsi" w:hAnsiTheme="minorHAnsi" w:cstheme="minorHAnsi"/>
          <w:color w:val="000000" w:themeColor="text1"/>
        </w:rPr>
        <w:t>A paired t-test confirms this is not a sampling artifact (t = 21.39, p &lt; 0.001,</w:t>
      </w:r>
      <w:r w:rsidR="00496602" w:rsidRPr="008C64E2">
        <w:rPr>
          <w:rFonts w:asciiTheme="minorHAnsi" w:hAnsiTheme="minorHAnsi" w:cstheme="minorHAnsi"/>
          <w:color w:val="000000" w:themeColor="text1"/>
        </w:rPr>
        <w:t xml:space="preserve"> </w:t>
      </w:r>
      <w:r w:rsidR="00804129" w:rsidRPr="008C64E2">
        <w:rPr>
          <w:rFonts w:asciiTheme="minorHAnsi" w:hAnsiTheme="minorHAnsi" w:cstheme="minorHAnsi"/>
          <w:color w:val="000000" w:themeColor="text1"/>
        </w:rPr>
        <w:t>Cohen</w:t>
      </w:r>
      <w:r w:rsidR="00B14D35"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s d = 3.00</w:t>
      </w:r>
      <w:r w:rsidR="0029523A"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 xml:space="preserve"> an exceptionally large effect). This likely reflects that the BRFSS question captures subjective memory concern, which younger adults may be more attuned to and more likely to report, and does not represent a clinical diagnosis. It suggests that </w:t>
      </w:r>
      <w:r w:rsidR="0029523A" w:rsidRPr="008C64E2">
        <w:rPr>
          <w:rFonts w:asciiTheme="minorHAnsi" w:hAnsiTheme="minorHAnsi" w:cstheme="minorHAnsi"/>
          <w:color w:val="000000" w:themeColor="text1"/>
        </w:rPr>
        <w:t>midlife</w:t>
      </w:r>
      <w:r w:rsidR="00804129" w:rsidRPr="008C64E2">
        <w:rPr>
          <w:rFonts w:asciiTheme="minorHAnsi" w:hAnsiTheme="minorHAnsi" w:cstheme="minorHAnsi"/>
          <w:color w:val="000000" w:themeColor="text1"/>
        </w:rPr>
        <w:t xml:space="preserve"> is an important but often overlooked window for </w:t>
      </w:r>
      <w:r w:rsidR="0029523A" w:rsidRPr="008C64E2">
        <w:rPr>
          <w:rFonts w:asciiTheme="minorHAnsi" w:hAnsiTheme="minorHAnsi" w:cstheme="minorHAnsi"/>
          <w:color w:val="000000" w:themeColor="text1"/>
        </w:rPr>
        <w:t>awareness of and intervention for cognitive decline</w:t>
      </w:r>
      <w:r w:rsidR="00804129" w:rsidRPr="008C64E2">
        <w:rPr>
          <w:rFonts w:asciiTheme="minorHAnsi" w:hAnsiTheme="minorHAnsi" w:cstheme="minorHAnsi"/>
          <w:color w:val="000000" w:themeColor="text1"/>
        </w:rPr>
        <w:t>.</w:t>
      </w:r>
    </w:p>
    <w:p w14:paraId="628FA24D" w14:textId="77777777" w:rsidR="001966C7" w:rsidRPr="008C64E2" w:rsidRDefault="001966C7" w:rsidP="008C64E2">
      <w:pPr>
        <w:rPr>
          <w:rFonts w:asciiTheme="minorHAnsi" w:hAnsiTheme="minorHAnsi" w:cstheme="minorHAnsi"/>
          <w:color w:val="000000" w:themeColor="text1"/>
        </w:rPr>
      </w:pPr>
    </w:p>
    <w:p w14:paraId="318E5BC9" w14:textId="3B523D10" w:rsidR="00425FDD" w:rsidRPr="008C64E2" w:rsidRDefault="00804129" w:rsidP="008C64E2">
      <w:pPr>
        <w:pStyle w:val="Heading1"/>
        <w:spacing w:before="0" w:after="0"/>
        <w:rPr>
          <w:rFonts w:asciiTheme="minorHAnsi" w:hAnsiTheme="minorHAnsi" w:cstheme="minorHAnsi"/>
          <w:color w:val="000000" w:themeColor="text1"/>
          <w:sz w:val="24"/>
          <w:szCs w:val="24"/>
        </w:rPr>
      </w:pPr>
      <w:r w:rsidRPr="008C64E2">
        <w:rPr>
          <w:rFonts w:asciiTheme="minorHAnsi" w:hAnsiTheme="minorHAnsi" w:cstheme="minorHAnsi"/>
          <w:color w:val="000000" w:themeColor="text1"/>
          <w:sz w:val="24"/>
          <w:szCs w:val="24"/>
        </w:rPr>
        <w:t>4. Description of the Final Data Product</w:t>
      </w:r>
    </w:p>
    <w:p w14:paraId="5CFD6787" w14:textId="77777777" w:rsidR="001966C7" w:rsidRPr="008C64E2" w:rsidRDefault="001966C7" w:rsidP="008C64E2">
      <w:pPr>
        <w:pStyle w:val="Heading1"/>
        <w:spacing w:before="0" w:after="0"/>
        <w:rPr>
          <w:rFonts w:asciiTheme="minorHAnsi" w:hAnsiTheme="minorHAnsi" w:cstheme="minorHAnsi"/>
          <w:color w:val="000000" w:themeColor="text1"/>
          <w:sz w:val="24"/>
          <w:szCs w:val="24"/>
        </w:rPr>
      </w:pPr>
    </w:p>
    <w:p w14:paraId="3D63F8F3" w14:textId="77777777" w:rsidR="00425FDD" w:rsidRPr="008C64E2" w:rsidRDefault="00804129" w:rsidP="008C64E2">
      <w:pPr>
        <w:rPr>
          <w:rFonts w:asciiTheme="minorHAnsi" w:hAnsiTheme="minorHAnsi" w:cstheme="minorHAnsi"/>
          <w:i/>
          <w:iCs/>
          <w:color w:val="000000" w:themeColor="text1"/>
        </w:rPr>
      </w:pPr>
      <w:r w:rsidRPr="008C64E2">
        <w:rPr>
          <w:rFonts w:asciiTheme="minorHAnsi" w:hAnsiTheme="minorHAnsi" w:cstheme="minorHAnsi"/>
          <w:b/>
          <w:bCs/>
          <w:i/>
          <w:iCs/>
          <w:color w:val="000000" w:themeColor="text1"/>
        </w:rPr>
        <w:t>Analytical Results</w:t>
      </w:r>
    </w:p>
    <w:p w14:paraId="3F524E54" w14:textId="61441288"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 xml:space="preserve">The analytical core of this project </w:t>
      </w:r>
      <w:r w:rsidR="0029523A" w:rsidRPr="008C64E2">
        <w:rPr>
          <w:rFonts w:asciiTheme="minorHAnsi" w:hAnsiTheme="minorHAnsi" w:cstheme="minorHAnsi"/>
          <w:color w:val="000000" w:themeColor="text1"/>
        </w:rPr>
        <w:t>comprises</w:t>
      </w:r>
      <w:r w:rsidR="00804129" w:rsidRPr="008C64E2">
        <w:rPr>
          <w:rFonts w:asciiTheme="minorHAnsi" w:hAnsiTheme="minorHAnsi" w:cstheme="minorHAnsi"/>
          <w:color w:val="000000" w:themeColor="text1"/>
        </w:rPr>
        <w:t xml:space="preserve"> 13 research questions (RQs) addressed through correlation analysis, statistical testing, and multiple linear regression. The most important findings are summarized below, followed by a description of the interactive dashboard.</w:t>
      </w:r>
    </w:p>
    <w:p w14:paraId="5393D45E" w14:textId="78CF6536"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Geographic Variation (RQ1)</w:t>
      </w:r>
      <w:r w:rsidR="00B14D35" w:rsidRPr="008C64E2">
        <w:rPr>
          <w:rFonts w:asciiTheme="minorHAnsi" w:hAnsiTheme="minorHAnsi" w:cstheme="minorHAnsi"/>
          <w:b/>
          <w:bCs/>
          <w:color w:val="000000" w:themeColor="text1"/>
        </w:rPr>
        <w:t>.</w:t>
      </w:r>
      <w:r w:rsidRPr="008C64E2">
        <w:rPr>
          <w:rFonts w:asciiTheme="minorHAnsi" w:hAnsiTheme="minorHAnsi" w:cstheme="minorHAnsi"/>
          <w:b/>
          <w:bCs/>
          <w:color w:val="000000" w:themeColor="text1"/>
        </w:rPr>
        <w:t xml:space="preserve"> </w:t>
      </w:r>
      <w:r w:rsidRPr="008C64E2">
        <w:rPr>
          <w:rFonts w:asciiTheme="minorHAnsi" w:hAnsiTheme="minorHAnsi" w:cstheme="minorHAnsi"/>
          <w:color w:val="000000" w:themeColor="text1"/>
        </w:rPr>
        <w:t>Eight of the top ten states for cognitive decline are in the South. Mississippi leads at 50.7%, followed by Tennessee and Arkansas. Iowa (27.7%), Minnesota (28.9%), and Maine (30.0%) have the lowest rates. This geographic clustering</w:t>
      </w:r>
      <w:r w:rsidR="0029523A" w:rsidRPr="008C64E2">
        <w:rPr>
          <w:rFonts w:asciiTheme="minorHAnsi" w:hAnsiTheme="minorHAnsi" w:cstheme="minorHAnsi"/>
          <w:color w:val="000000" w:themeColor="text1"/>
        </w:rPr>
        <w:t xml:space="preserve">, </w:t>
      </w:r>
      <w:r w:rsidRPr="008C64E2">
        <w:rPr>
          <w:rFonts w:asciiTheme="minorHAnsi" w:hAnsiTheme="minorHAnsi" w:cstheme="minorHAnsi"/>
          <w:color w:val="000000" w:themeColor="text1"/>
        </w:rPr>
        <w:t>a continuous dark-red band across the Deep South</w:t>
      </w:r>
      <w:r w:rsidR="0029523A" w:rsidRPr="008C64E2">
        <w:rPr>
          <w:rFonts w:asciiTheme="minorHAnsi" w:hAnsiTheme="minorHAnsi" w:cstheme="minorHAnsi"/>
          <w:color w:val="000000" w:themeColor="text1"/>
        </w:rPr>
        <w:t>,</w:t>
      </w:r>
      <w:r w:rsidRPr="008C64E2">
        <w:rPr>
          <w:rFonts w:asciiTheme="minorHAnsi" w:hAnsiTheme="minorHAnsi" w:cstheme="minorHAnsi"/>
          <w:color w:val="000000" w:themeColor="text1"/>
        </w:rPr>
        <w:t xml:space="preserve"> is consistent with known regional disparities in physical health, healthcare access, and socioeconomic conditions.</w:t>
      </w:r>
    </w:p>
    <w:p w14:paraId="5FE916D6" w14:textId="22A7A6F2" w:rsidR="00FB5F90" w:rsidRPr="008C64E2" w:rsidRDefault="008C64E2" w:rsidP="008C64E2">
      <w:pPr>
        <w:jc w:val="center"/>
        <w:rPr>
          <w:rFonts w:asciiTheme="minorHAnsi" w:hAnsiTheme="minorHAnsi" w:cstheme="minorHAnsi"/>
          <w:color w:val="000000" w:themeColor="text1"/>
        </w:rPr>
      </w:pPr>
      <w:r w:rsidRPr="008C64E2">
        <w:rPr>
          <w:rFonts w:asciiTheme="minorHAnsi" w:hAnsiTheme="minorHAnsi" w:cstheme="minorHAnsi"/>
          <w:noProof/>
          <w:color w:val="000000" w:themeColor="text1"/>
        </w:rPr>
        <w:drawing>
          <wp:anchor distT="0" distB="0" distL="114300" distR="114300" simplePos="0" relativeHeight="251673600" behindDoc="0" locked="0" layoutInCell="1" allowOverlap="1" wp14:anchorId="3DCADE74" wp14:editId="0D96A5E8">
            <wp:simplePos x="0" y="0"/>
            <wp:positionH relativeFrom="column">
              <wp:posOffset>2034540</wp:posOffset>
            </wp:positionH>
            <wp:positionV relativeFrom="paragraph">
              <wp:posOffset>187325</wp:posOffset>
            </wp:positionV>
            <wp:extent cx="2407920" cy="1575792"/>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7920" cy="1575792"/>
                    </a:xfrm>
                    <a:prstGeom prst="rect">
                      <a:avLst/>
                    </a:prstGeom>
                  </pic:spPr>
                </pic:pic>
              </a:graphicData>
            </a:graphic>
            <wp14:sizeRelH relativeFrom="margin">
              <wp14:pctWidth>0</wp14:pctWidth>
            </wp14:sizeRelH>
            <wp14:sizeRelV relativeFrom="margin">
              <wp14:pctHeight>0</wp14:pctHeight>
            </wp14:sizeRelV>
          </wp:anchor>
        </w:drawing>
      </w:r>
      <w:r w:rsidR="00FB5F90" w:rsidRPr="008C64E2">
        <w:rPr>
          <w:rFonts w:asciiTheme="minorHAnsi" w:hAnsiTheme="minorHAnsi" w:cstheme="minorHAnsi"/>
          <w:b/>
          <w:bCs/>
          <w:color w:val="000000" w:themeColor="text1"/>
        </w:rPr>
        <w:t>Average Cognitive Decline Rate by State (2015-2022)</w:t>
      </w:r>
    </w:p>
    <w:p w14:paraId="60A0D2E0" w14:textId="032DE30B" w:rsidR="00425FDD" w:rsidRPr="008C64E2" w:rsidRDefault="00FB5F90"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lastRenderedPageBreak/>
        <w:br w:type="textWrapping" w:clear="all"/>
      </w:r>
      <w:r w:rsidR="00804129" w:rsidRPr="008C64E2">
        <w:rPr>
          <w:rFonts w:asciiTheme="minorHAnsi" w:hAnsiTheme="minorHAnsi" w:cstheme="minorHAnsi"/>
          <w:b/>
          <w:bCs/>
          <w:color w:val="000000" w:themeColor="text1"/>
        </w:rPr>
        <w:t>Health and Behavioral Risk Factor Correlations (RQ4–RQ9)</w:t>
      </w:r>
      <w:r w:rsidR="00B14D35" w:rsidRPr="008C64E2">
        <w:rPr>
          <w:rFonts w:asciiTheme="minorHAnsi" w:hAnsiTheme="minorHAnsi" w:cstheme="minorHAnsi"/>
          <w:b/>
          <w:bCs/>
          <w:color w:val="000000" w:themeColor="text1"/>
        </w:rPr>
        <w:t>.</w:t>
      </w:r>
      <w:r w:rsidR="00804129" w:rsidRPr="008C64E2">
        <w:rPr>
          <w:rFonts w:asciiTheme="minorHAnsi" w:hAnsiTheme="minorHAnsi" w:cstheme="minorHAnsi"/>
          <w:b/>
          <w:bCs/>
          <w:color w:val="000000" w:themeColor="text1"/>
        </w:rPr>
        <w:t xml:space="preserve"> </w:t>
      </w:r>
      <w:r w:rsidR="00804129" w:rsidRPr="008C64E2">
        <w:rPr>
          <w:rFonts w:asciiTheme="minorHAnsi" w:hAnsiTheme="minorHAnsi" w:cstheme="minorHAnsi"/>
          <w:color w:val="000000" w:themeColor="text1"/>
        </w:rPr>
        <w:t xml:space="preserve">Pearson correlations between each risk factor and state-average cognitive decline were computed using state averages (one value per state), with Bonferroni correction applied for multiple comparisons. Table 2 summarizes </w:t>
      </w:r>
      <w:r w:rsidR="0029523A" w:rsidRPr="008C64E2">
        <w:rPr>
          <w:rFonts w:asciiTheme="minorHAnsi" w:hAnsiTheme="minorHAnsi" w:cstheme="minorHAnsi"/>
          <w:color w:val="000000" w:themeColor="text1"/>
        </w:rPr>
        <w:t xml:space="preserve">the </w:t>
      </w:r>
      <w:r w:rsidR="00804129" w:rsidRPr="008C64E2">
        <w:rPr>
          <w:rFonts w:asciiTheme="minorHAnsi" w:hAnsiTheme="minorHAnsi" w:cstheme="minorHAnsi"/>
          <w:color w:val="000000" w:themeColor="text1"/>
        </w:rPr>
        <w:t>results.</w:t>
      </w:r>
    </w:p>
    <w:p w14:paraId="14C6C94C"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b/>
          <w:bCs/>
          <w:i/>
          <w:iCs/>
          <w:color w:val="000000" w:themeColor="text1"/>
        </w:rPr>
        <w:t>Table 2: Pearson Correlations with Cognitive Decline (State-Level Averages, N =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14D35" w:rsidRPr="008C64E2" w14:paraId="6438D87D"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29252DFF" w14:textId="77777777" w:rsidR="00425FDD" w:rsidRPr="008C64E2" w:rsidRDefault="00804129" w:rsidP="008C64E2">
            <w:pPr>
              <w:jc w:val="center"/>
              <w:rPr>
                <w:rFonts w:asciiTheme="minorHAnsi" w:hAnsiTheme="minorHAnsi" w:cstheme="minorHAnsi"/>
                <w:color w:val="FFFFFF" w:themeColor="background1"/>
              </w:rPr>
            </w:pPr>
            <w:r w:rsidRPr="008C64E2">
              <w:rPr>
                <w:rFonts w:asciiTheme="minorHAnsi" w:hAnsiTheme="minorHAnsi" w:cstheme="minorHAnsi"/>
                <w:b/>
                <w:bCs/>
                <w:color w:val="FFFFFF" w:themeColor="background1"/>
              </w:rPr>
              <w:t>Risk Factor / SES Variable</w:t>
            </w:r>
          </w:p>
        </w:tc>
        <w:tc>
          <w:tcPr>
            <w:tcW w:w="234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12624AC2" w14:textId="77777777" w:rsidR="00425FDD" w:rsidRPr="008C64E2" w:rsidRDefault="00804129" w:rsidP="008C64E2">
            <w:pPr>
              <w:jc w:val="center"/>
              <w:rPr>
                <w:rFonts w:asciiTheme="minorHAnsi" w:hAnsiTheme="minorHAnsi" w:cstheme="minorHAnsi"/>
                <w:color w:val="FFFFFF" w:themeColor="background1"/>
              </w:rPr>
            </w:pPr>
            <w:r w:rsidRPr="008C64E2">
              <w:rPr>
                <w:rFonts w:asciiTheme="minorHAnsi" w:hAnsiTheme="minorHAnsi" w:cstheme="minorHAnsi"/>
                <w:b/>
                <w:bCs/>
                <w:color w:val="FFFFFF" w:themeColor="background1"/>
              </w:rPr>
              <w:t>Pearson r</w:t>
            </w:r>
          </w:p>
        </w:tc>
        <w:tc>
          <w:tcPr>
            <w:tcW w:w="2340" w:type="dxa"/>
            <w:tcBorders>
              <w:top w:val="single" w:sz="1" w:space="0" w:color="AAAAAA"/>
              <w:left w:val="single" w:sz="1" w:space="0" w:color="AAAAAA"/>
              <w:bottom w:val="single" w:sz="1" w:space="0" w:color="AAAAAA"/>
              <w:right w:val="single" w:sz="1" w:space="0" w:color="AAAAAA"/>
            </w:tcBorders>
            <w:shd w:val="clear" w:color="auto" w:fill="00A9CE"/>
            <w:tcMar>
              <w:top w:w="80" w:type="dxa"/>
              <w:left w:w="120" w:type="dxa"/>
              <w:bottom w:w="80" w:type="dxa"/>
              <w:right w:w="120" w:type="dxa"/>
            </w:tcMar>
          </w:tcPr>
          <w:p w14:paraId="5FDAB404" w14:textId="77777777" w:rsidR="00425FDD" w:rsidRPr="008C64E2" w:rsidRDefault="00804129" w:rsidP="008C64E2">
            <w:pPr>
              <w:jc w:val="center"/>
              <w:rPr>
                <w:rFonts w:asciiTheme="minorHAnsi" w:hAnsiTheme="minorHAnsi" w:cstheme="minorHAnsi"/>
                <w:color w:val="FFFFFF" w:themeColor="background1"/>
              </w:rPr>
            </w:pPr>
            <w:r w:rsidRPr="008C64E2">
              <w:rPr>
                <w:rFonts w:asciiTheme="minorHAnsi" w:hAnsiTheme="minorHAnsi" w:cstheme="minorHAnsi"/>
                <w:b/>
                <w:bCs/>
                <w:color w:val="FFFFFF" w:themeColor="background1"/>
              </w:rPr>
              <w:t>Significance</w:t>
            </w:r>
          </w:p>
        </w:tc>
      </w:tr>
      <w:tr w:rsidR="00B14D35" w:rsidRPr="008C64E2" w14:paraId="524B95C7"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73D627D9"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Poor Health</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79C3940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0.80</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5F120B6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0.001</w:t>
            </w:r>
          </w:p>
        </w:tc>
      </w:tr>
      <w:tr w:rsidR="00B14D35" w:rsidRPr="008C64E2" w14:paraId="2E59E9A2"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38BDD1B4"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Disability</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6522BB22"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0.69</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0071F1E7"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0.001</w:t>
            </w:r>
          </w:p>
        </w:tc>
      </w:tr>
      <w:tr w:rsidR="00B14D35" w:rsidRPr="008C64E2" w14:paraId="18C5A1A9"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4A64C6F7"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Unhealthy Days</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1731D247"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0.67</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6D5CB62C"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0.001</w:t>
            </w:r>
          </w:p>
        </w:tc>
      </w:tr>
      <w:tr w:rsidR="00B14D35" w:rsidRPr="008C64E2" w14:paraId="2F3128FC"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70D7849E"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Mental Distress</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17079265"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0.67</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1887DCDF"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0.001</w:t>
            </w:r>
          </w:p>
        </w:tc>
      </w:tr>
      <w:tr w:rsidR="00B14D35" w:rsidRPr="008C64E2" w14:paraId="326C90EE"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0BFE1A73"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Physical Inactivity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2E496B85"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0.63</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51AE9A91"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0.001</w:t>
            </w:r>
          </w:p>
        </w:tc>
      </w:tr>
      <w:tr w:rsidR="00B14D35" w:rsidRPr="008C64E2" w14:paraId="00E22CC2"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0A00D5A7"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Smoking</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5D111D51"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0.50</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749E885C"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0.01</w:t>
            </w:r>
          </w:p>
        </w:tc>
      </w:tr>
      <w:tr w:rsidR="00B14D35" w:rsidRPr="008C64E2" w14:paraId="3872CFD4"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7FDBC159"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Depression</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2C95805A"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0.42</w:t>
            </w:r>
          </w:p>
        </w:tc>
        <w:tc>
          <w:tcPr>
            <w:tcW w:w="234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7E69B5DD"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0.05</w:t>
            </w:r>
          </w:p>
        </w:tc>
      </w:tr>
      <w:tr w:rsidR="00B14D35" w:rsidRPr="008C64E2" w14:paraId="7170DB08"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279BCB43"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Binge Drinking</w:t>
            </w:r>
          </w:p>
        </w:tc>
        <w:tc>
          <w:tcPr>
            <w:tcW w:w="234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1ED19B9D"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−0.51</w:t>
            </w:r>
          </w:p>
        </w:tc>
        <w:tc>
          <w:tcPr>
            <w:tcW w:w="234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6A4B9A71"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0.001</w:t>
            </w:r>
          </w:p>
        </w:tc>
      </w:tr>
      <w:tr w:rsidR="00B14D35" w:rsidRPr="008C64E2" w14:paraId="50DDF207"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118FB706"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Median Income</w:t>
            </w:r>
          </w:p>
        </w:tc>
        <w:tc>
          <w:tcPr>
            <w:tcW w:w="234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516D110F"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−0.49</w:t>
            </w:r>
          </w:p>
        </w:tc>
        <w:tc>
          <w:tcPr>
            <w:tcW w:w="234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603448E9"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0.01</w:t>
            </w:r>
          </w:p>
        </w:tc>
      </w:tr>
      <w:tr w:rsidR="00B14D35" w:rsidRPr="008C64E2" w14:paraId="47A9651C" w14:textId="77777777" w:rsidTr="00B030D1">
        <w:trPr>
          <w:trHeight w:val="20"/>
        </w:trPr>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6D9AD925" w14:textId="77777777"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Education (</w:t>
            </w:r>
            <w:proofErr w:type="gramStart"/>
            <w:r w:rsidRPr="008C64E2">
              <w:rPr>
                <w:rFonts w:asciiTheme="minorHAnsi" w:hAnsiTheme="minorHAnsi" w:cstheme="minorHAnsi"/>
                <w:color w:val="000000" w:themeColor="text1"/>
              </w:rPr>
              <w:t>Bach.+</w:t>
            </w:r>
            <w:proofErr w:type="gramEnd"/>
            <w:r w:rsidRPr="008C64E2">
              <w:rPr>
                <w:rFonts w:asciiTheme="minorHAnsi" w:hAnsiTheme="minorHAnsi" w:cstheme="minorHAnsi"/>
                <w:color w:val="000000" w:themeColor="text1"/>
              </w:rPr>
              <w:t>)</w:t>
            </w:r>
          </w:p>
        </w:tc>
        <w:tc>
          <w:tcPr>
            <w:tcW w:w="234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68896224"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r = −0.34</w:t>
            </w:r>
          </w:p>
        </w:tc>
        <w:tc>
          <w:tcPr>
            <w:tcW w:w="234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tcPr>
          <w:p w14:paraId="7986E919"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color w:val="000000" w:themeColor="text1"/>
              </w:rPr>
              <w:t>p &lt; 0.05</w:t>
            </w:r>
          </w:p>
        </w:tc>
      </w:tr>
    </w:tbl>
    <w:p w14:paraId="4898B4EB" w14:textId="77777777" w:rsidR="00425FDD" w:rsidRPr="008C64E2" w:rsidRDefault="00804129" w:rsidP="008C64E2">
      <w:pPr>
        <w:jc w:val="center"/>
        <w:rPr>
          <w:rFonts w:asciiTheme="minorHAnsi" w:hAnsiTheme="minorHAnsi" w:cstheme="minorHAnsi"/>
          <w:color w:val="000000" w:themeColor="text1"/>
        </w:rPr>
      </w:pPr>
      <w:r w:rsidRPr="008C64E2">
        <w:rPr>
          <w:rFonts w:asciiTheme="minorHAnsi" w:hAnsiTheme="minorHAnsi" w:cstheme="minorHAnsi"/>
          <w:i/>
          <w:iCs/>
          <w:color w:val="000000" w:themeColor="text1"/>
        </w:rPr>
        <w:t>Red shading = positive association; blue shading = negative association. Bonferroni correction applied.</w:t>
      </w:r>
    </w:p>
    <w:p w14:paraId="25617BBB" w14:textId="1F68EE7F"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 xml:space="preserve">Poor health is the dominant predictor (r = 0.80), meaning </w:t>
      </w:r>
      <w:r w:rsidR="0029523A" w:rsidRPr="008C64E2">
        <w:rPr>
          <w:rFonts w:asciiTheme="minorHAnsi" w:hAnsiTheme="minorHAnsi" w:cstheme="minorHAnsi"/>
          <w:color w:val="000000" w:themeColor="text1"/>
        </w:rPr>
        <w:t>that states with a higher proportion of older adults rating</w:t>
      </w:r>
      <w:r w:rsidR="00804129" w:rsidRPr="008C64E2">
        <w:rPr>
          <w:rFonts w:asciiTheme="minorHAnsi" w:hAnsiTheme="minorHAnsi" w:cstheme="minorHAnsi"/>
          <w:color w:val="000000" w:themeColor="text1"/>
        </w:rPr>
        <w:t xml:space="preserve"> their health as fair or poor also have substantially higher cognitive decline rates. Disability (r = 0.69), unhealthy days (r = 0.67), and mental distress (r = 0.67) form a second tier of strong predictors. Physical inactivity (r = 0.63) and smoking (r = 0.50) show moderate positive associations. The only negative predictor among behavioral factors is binge drinking (r = </w:t>
      </w:r>
      <w:r w:rsidR="0029523A"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0.51), a counterintuitive finding. This pattern has been documented in the literature and may reflect</w:t>
      </w:r>
      <w:r w:rsidR="007A0E18" w:rsidRPr="008C64E2">
        <w:rPr>
          <w:rFonts w:asciiTheme="minorHAnsi" w:hAnsiTheme="minorHAnsi" w:cstheme="minorHAnsi"/>
          <w:color w:val="000000" w:themeColor="text1"/>
        </w:rPr>
        <w:t xml:space="preserve"> </w:t>
      </w:r>
      <w:proofErr w:type="gramStart"/>
      <w:r w:rsidR="007A0E18" w:rsidRPr="008C64E2">
        <w:rPr>
          <w:rFonts w:asciiTheme="minorHAnsi" w:hAnsiTheme="minorHAnsi" w:cstheme="minorHAnsi"/>
          <w:color w:val="000000" w:themeColor="text1"/>
        </w:rPr>
        <w:t>that</w:t>
      </w:r>
      <w:r w:rsidR="0029523A" w:rsidRPr="008C64E2">
        <w:rPr>
          <w:rFonts w:asciiTheme="minorHAnsi" w:hAnsiTheme="minorHAnsi" w:cstheme="minorHAnsi"/>
          <w:color w:val="000000" w:themeColor="text1"/>
        </w:rPr>
        <w:t xml:space="preserve"> states</w:t>
      </w:r>
      <w:proofErr w:type="gramEnd"/>
      <w:r w:rsidR="00804129" w:rsidRPr="008C64E2">
        <w:rPr>
          <w:rFonts w:asciiTheme="minorHAnsi" w:hAnsiTheme="minorHAnsi" w:cstheme="minorHAnsi"/>
          <w:color w:val="000000" w:themeColor="text1"/>
        </w:rPr>
        <w:t xml:space="preserve"> with higher binge drinking rates tend to be younger, wealthier, and in the North regions with lower overall cognitive decline</w:t>
      </w:r>
      <w:r w:rsidR="0029523A" w:rsidRPr="008C64E2">
        <w:rPr>
          <w:rFonts w:asciiTheme="minorHAnsi" w:hAnsiTheme="minorHAnsi" w:cstheme="minorHAnsi"/>
          <w:color w:val="000000" w:themeColor="text1"/>
        </w:rPr>
        <w:t>,</w:t>
      </w:r>
      <w:r w:rsidR="00804129" w:rsidRPr="008C64E2">
        <w:rPr>
          <w:rFonts w:asciiTheme="minorHAnsi" w:hAnsiTheme="minorHAnsi" w:cstheme="minorHAnsi"/>
          <w:color w:val="000000" w:themeColor="text1"/>
        </w:rPr>
        <w:t xml:space="preserve"> producing a state-level ecological correlation that does not indicate that alcohol is protective at the individual level (Heymann et al., 2016).</w:t>
      </w:r>
    </w:p>
    <w:p w14:paraId="27D47F0A" w14:textId="53B3948B"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Socioeconomic Factors (RQ10</w:t>
      </w:r>
      <w:r w:rsidR="007A0E18" w:rsidRPr="008C64E2">
        <w:rPr>
          <w:rFonts w:asciiTheme="minorHAnsi" w:hAnsiTheme="minorHAnsi" w:cstheme="minorHAnsi"/>
          <w:b/>
          <w:bCs/>
          <w:color w:val="000000" w:themeColor="text1"/>
        </w:rPr>
        <w:t xml:space="preserve"> </w:t>
      </w:r>
      <w:r w:rsidR="00B14D35" w:rsidRPr="008C64E2">
        <w:rPr>
          <w:rFonts w:asciiTheme="minorHAnsi" w:hAnsiTheme="minorHAnsi" w:cstheme="minorHAnsi"/>
          <w:b/>
          <w:bCs/>
          <w:color w:val="000000" w:themeColor="text1"/>
        </w:rPr>
        <w:t>–</w:t>
      </w:r>
      <w:r w:rsidR="007A0E18" w:rsidRPr="008C64E2">
        <w:rPr>
          <w:rFonts w:asciiTheme="minorHAnsi" w:hAnsiTheme="minorHAnsi" w:cstheme="minorHAnsi"/>
          <w:b/>
          <w:bCs/>
          <w:color w:val="000000" w:themeColor="text1"/>
        </w:rPr>
        <w:t xml:space="preserve"> </w:t>
      </w:r>
      <w:r w:rsidRPr="008C64E2">
        <w:rPr>
          <w:rFonts w:asciiTheme="minorHAnsi" w:hAnsiTheme="minorHAnsi" w:cstheme="minorHAnsi"/>
          <w:b/>
          <w:bCs/>
          <w:color w:val="000000" w:themeColor="text1"/>
        </w:rPr>
        <w:t>RQ11)</w:t>
      </w:r>
      <w:r w:rsidR="00B14D35" w:rsidRPr="008C64E2">
        <w:rPr>
          <w:rFonts w:asciiTheme="minorHAnsi" w:hAnsiTheme="minorHAnsi" w:cstheme="minorHAnsi"/>
          <w:b/>
          <w:bCs/>
          <w:color w:val="000000" w:themeColor="text1"/>
        </w:rPr>
        <w:t xml:space="preserve">. </w:t>
      </w:r>
      <w:r w:rsidRPr="008C64E2">
        <w:rPr>
          <w:rFonts w:asciiTheme="minorHAnsi" w:hAnsiTheme="minorHAnsi" w:cstheme="minorHAnsi"/>
          <w:color w:val="000000" w:themeColor="text1"/>
        </w:rPr>
        <w:t xml:space="preserve">Median household income shows a moderate negative correlation with cognitive decline (r = </w:t>
      </w:r>
      <w:r w:rsidR="007A0E18" w:rsidRPr="008C64E2">
        <w:rPr>
          <w:rFonts w:asciiTheme="minorHAnsi" w:hAnsiTheme="minorHAnsi" w:cstheme="minorHAnsi"/>
          <w:color w:val="000000" w:themeColor="text1"/>
        </w:rPr>
        <w:t xml:space="preserve">- </w:t>
      </w:r>
      <w:r w:rsidRPr="008C64E2">
        <w:rPr>
          <w:rFonts w:asciiTheme="minorHAnsi" w:hAnsiTheme="minorHAnsi" w:cstheme="minorHAnsi"/>
          <w:color w:val="000000" w:themeColor="text1"/>
        </w:rPr>
        <w:t xml:space="preserve">0.49, p &lt; 0.01): states with higher </w:t>
      </w:r>
      <w:r w:rsidR="007A0E18" w:rsidRPr="008C64E2">
        <w:rPr>
          <w:rFonts w:asciiTheme="minorHAnsi" w:hAnsiTheme="minorHAnsi" w:cstheme="minorHAnsi"/>
          <w:color w:val="000000" w:themeColor="text1"/>
        </w:rPr>
        <w:t>median household income</w:t>
      </w:r>
      <w:r w:rsidRPr="008C64E2">
        <w:rPr>
          <w:rFonts w:asciiTheme="minorHAnsi" w:hAnsiTheme="minorHAnsi" w:cstheme="minorHAnsi"/>
          <w:color w:val="000000" w:themeColor="text1"/>
        </w:rPr>
        <w:t xml:space="preserve"> tend to have lower cognitive decline rates. Educational attainment shows a weaker negative correlation (r = </w:t>
      </w:r>
      <w:r w:rsidR="007A0E18" w:rsidRPr="008C64E2">
        <w:rPr>
          <w:rFonts w:asciiTheme="minorHAnsi" w:hAnsiTheme="minorHAnsi" w:cstheme="minorHAnsi"/>
          <w:color w:val="000000" w:themeColor="text1"/>
        </w:rPr>
        <w:t xml:space="preserve">- </w:t>
      </w:r>
      <w:r w:rsidRPr="008C64E2">
        <w:rPr>
          <w:rFonts w:asciiTheme="minorHAnsi" w:hAnsiTheme="minorHAnsi" w:cstheme="minorHAnsi"/>
          <w:color w:val="000000" w:themeColor="text1"/>
        </w:rPr>
        <w:t xml:space="preserve">0.34, p &lt; 0.05). Mississippi stands out as both the lowest-income and highest-cognitive-decline state; Maryland and Massachusetts anchor the other end. These findings are consistent with the cognitive reserve hypothesis, </w:t>
      </w:r>
      <w:r w:rsidR="007A0E18" w:rsidRPr="008C64E2">
        <w:rPr>
          <w:rFonts w:asciiTheme="minorHAnsi" w:hAnsiTheme="minorHAnsi" w:cstheme="minorHAnsi"/>
          <w:color w:val="000000" w:themeColor="text1"/>
        </w:rPr>
        <w:t>which posits that</w:t>
      </w:r>
      <w:r w:rsidRPr="008C64E2">
        <w:rPr>
          <w:rFonts w:asciiTheme="minorHAnsi" w:hAnsiTheme="minorHAnsi" w:cstheme="minorHAnsi"/>
          <w:color w:val="000000" w:themeColor="text1"/>
        </w:rPr>
        <w:t xml:space="preserve"> higher socioeconomic status provides access to better healthcare, nutrition, and cognitively stimulating environments, all of which may buffer against decline.</w:t>
      </w:r>
    </w:p>
    <w:p w14:paraId="1E1A6EC3" w14:textId="670C20A2"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lastRenderedPageBreak/>
        <w:t>Multiple Linear Regression (RQ12)</w:t>
      </w:r>
      <w:r w:rsidR="00B14D35" w:rsidRPr="008C64E2">
        <w:rPr>
          <w:rFonts w:asciiTheme="minorHAnsi" w:hAnsiTheme="minorHAnsi" w:cstheme="minorHAnsi"/>
          <w:b/>
          <w:bCs/>
          <w:color w:val="000000" w:themeColor="text1"/>
        </w:rPr>
        <w:t>.</w:t>
      </w:r>
      <w:r w:rsidRPr="008C64E2">
        <w:rPr>
          <w:rFonts w:asciiTheme="minorHAnsi" w:hAnsiTheme="minorHAnsi" w:cstheme="minorHAnsi"/>
          <w:b/>
          <w:bCs/>
          <w:color w:val="000000" w:themeColor="text1"/>
        </w:rPr>
        <w:t xml:space="preserve"> </w:t>
      </w:r>
      <w:r w:rsidRPr="008C64E2">
        <w:rPr>
          <w:rFonts w:asciiTheme="minorHAnsi" w:hAnsiTheme="minorHAnsi" w:cstheme="minorHAnsi"/>
          <w:color w:val="000000" w:themeColor="text1"/>
        </w:rPr>
        <w:t>A multiple linear regression model was fitted using all eight health/behavioral risk factors</w:t>
      </w:r>
      <w:r w:rsidR="00B030D1" w:rsidRPr="008C64E2">
        <w:rPr>
          <w:rFonts w:asciiTheme="minorHAnsi" w:hAnsiTheme="minorHAnsi" w:cstheme="minorHAnsi"/>
          <w:color w:val="000000" w:themeColor="text1"/>
        </w:rPr>
        <w:t>, along with income and education,</w:t>
      </w:r>
      <w:r w:rsidRPr="008C64E2">
        <w:rPr>
          <w:rFonts w:asciiTheme="minorHAnsi" w:hAnsiTheme="minorHAnsi" w:cstheme="minorHAnsi"/>
          <w:color w:val="000000" w:themeColor="text1"/>
        </w:rPr>
        <w:t xml:space="preserve"> as standardized predictors of state-average cognitive decline. The full model achieves </w:t>
      </w:r>
      <w:r w:rsidRPr="008C64E2">
        <w:rPr>
          <w:rFonts w:asciiTheme="minorHAnsi" w:hAnsiTheme="minorHAnsi" w:cstheme="minorHAnsi"/>
          <w:b/>
          <w:bCs/>
          <w:color w:val="000000" w:themeColor="text1"/>
        </w:rPr>
        <w:t>R² = 0.742</w:t>
      </w:r>
      <w:r w:rsidRPr="008C64E2">
        <w:rPr>
          <w:rFonts w:asciiTheme="minorHAnsi" w:hAnsiTheme="minorHAnsi" w:cstheme="minorHAnsi"/>
          <w:color w:val="000000" w:themeColor="text1"/>
        </w:rPr>
        <w:t>, meaning health, behavioral, and socioeconomic factors together explain 74.2% of the state-level variation in cognitive decline. However, high multicollinearity among predictors (poor health and unhealthy days are correlated at r = 0.94) renders individual coefficient estimates unstable; the bivariate correlations in Table 2 provide more reliable estimates of each variable</w:t>
      </w:r>
      <w:r w:rsidR="00B14D35" w:rsidRPr="008C64E2">
        <w:rPr>
          <w:rFonts w:asciiTheme="minorHAnsi" w:hAnsiTheme="minorHAnsi" w:cstheme="minorHAnsi"/>
          <w:color w:val="000000" w:themeColor="text1"/>
        </w:rPr>
        <w:t>’</w:t>
      </w:r>
      <w:r w:rsidRPr="008C64E2">
        <w:rPr>
          <w:rFonts w:asciiTheme="minorHAnsi" w:hAnsiTheme="minorHAnsi" w:cstheme="minorHAnsi"/>
          <w:color w:val="000000" w:themeColor="text1"/>
        </w:rPr>
        <w:t>s individual relationship with the outcome.</w:t>
      </w:r>
    </w:p>
    <w:p w14:paraId="7717F74B" w14:textId="41342D24"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b/>
          <w:bCs/>
          <w:color w:val="000000" w:themeColor="text1"/>
        </w:rPr>
        <w:t>Risk Factor Trends 2015</w:t>
      </w:r>
      <w:r w:rsidR="007A0E18" w:rsidRPr="008C64E2">
        <w:rPr>
          <w:rFonts w:asciiTheme="minorHAnsi" w:hAnsiTheme="minorHAnsi" w:cstheme="minorHAnsi"/>
          <w:b/>
          <w:bCs/>
          <w:color w:val="000000" w:themeColor="text1"/>
        </w:rPr>
        <w:t xml:space="preserve"> </w:t>
      </w:r>
      <w:r w:rsidR="00B14D35" w:rsidRPr="008C64E2">
        <w:rPr>
          <w:rFonts w:asciiTheme="minorHAnsi" w:hAnsiTheme="minorHAnsi" w:cstheme="minorHAnsi"/>
          <w:b/>
          <w:bCs/>
          <w:color w:val="000000" w:themeColor="text1"/>
        </w:rPr>
        <w:t>–</w:t>
      </w:r>
      <w:r w:rsidR="007A0E18" w:rsidRPr="008C64E2">
        <w:rPr>
          <w:rFonts w:asciiTheme="minorHAnsi" w:hAnsiTheme="minorHAnsi" w:cstheme="minorHAnsi"/>
          <w:b/>
          <w:bCs/>
          <w:color w:val="000000" w:themeColor="text1"/>
        </w:rPr>
        <w:t xml:space="preserve"> </w:t>
      </w:r>
      <w:r w:rsidRPr="008C64E2">
        <w:rPr>
          <w:rFonts w:asciiTheme="minorHAnsi" w:hAnsiTheme="minorHAnsi" w:cstheme="minorHAnsi"/>
          <w:b/>
          <w:bCs/>
          <w:color w:val="000000" w:themeColor="text1"/>
        </w:rPr>
        <w:t>2022 (RQ13)</w:t>
      </w:r>
      <w:r w:rsidR="00B14D35" w:rsidRPr="008C64E2">
        <w:rPr>
          <w:rFonts w:asciiTheme="minorHAnsi" w:hAnsiTheme="minorHAnsi" w:cstheme="minorHAnsi"/>
          <w:b/>
          <w:bCs/>
          <w:color w:val="000000" w:themeColor="text1"/>
        </w:rPr>
        <w:t>.</w:t>
      </w:r>
      <w:r w:rsidRPr="008C64E2">
        <w:rPr>
          <w:rFonts w:asciiTheme="minorHAnsi" w:hAnsiTheme="minorHAnsi" w:cstheme="minorHAnsi"/>
          <w:b/>
          <w:bCs/>
          <w:color w:val="000000" w:themeColor="text1"/>
        </w:rPr>
        <w:t xml:space="preserve"> </w:t>
      </w:r>
      <w:r w:rsidRPr="008C64E2">
        <w:rPr>
          <w:rFonts w:asciiTheme="minorHAnsi" w:hAnsiTheme="minorHAnsi" w:cstheme="minorHAnsi"/>
          <w:color w:val="000000" w:themeColor="text1"/>
        </w:rPr>
        <w:t>Among the eight risk factors tracked over time, seven show upward</w:t>
      </w:r>
      <w:r w:rsidR="007A0E18" w:rsidRPr="008C64E2">
        <w:rPr>
          <w:rFonts w:asciiTheme="minorHAnsi" w:hAnsiTheme="minorHAnsi" w:cstheme="minorHAnsi"/>
          <w:color w:val="000000" w:themeColor="text1"/>
        </w:rPr>
        <w:t>,</w:t>
      </w:r>
      <w:r w:rsidRPr="008C64E2">
        <w:rPr>
          <w:rFonts w:asciiTheme="minorHAnsi" w:hAnsiTheme="minorHAnsi" w:cstheme="minorHAnsi"/>
          <w:color w:val="000000" w:themeColor="text1"/>
        </w:rPr>
        <w:t xml:space="preserve"> or flat national trends between 2015 and 2022: disability (+2.2 percentage points), mental distress (+1.4 pp), and binge drinking (+0.6 pp) increased, while unhealthy days held flat. Only smoking showed a meaningful decline (</w:t>
      </w:r>
      <w:r w:rsidR="007A0E18" w:rsidRPr="008C64E2">
        <w:rPr>
          <w:rFonts w:asciiTheme="minorHAnsi" w:hAnsiTheme="minorHAnsi" w:cstheme="minorHAnsi"/>
          <w:color w:val="000000" w:themeColor="text1"/>
        </w:rPr>
        <w:t>-</w:t>
      </w:r>
      <w:r w:rsidRPr="008C64E2">
        <w:rPr>
          <w:rFonts w:asciiTheme="minorHAnsi" w:hAnsiTheme="minorHAnsi" w:cstheme="minorHAnsi"/>
          <w:color w:val="000000" w:themeColor="text1"/>
        </w:rPr>
        <w:t>2.2 pp). Poor health, depression, and physical inactivity declined only marginally (0.6</w:t>
      </w:r>
      <w:r w:rsidR="007A0E18" w:rsidRPr="008C64E2">
        <w:rPr>
          <w:rFonts w:asciiTheme="minorHAnsi" w:hAnsiTheme="minorHAnsi" w:cstheme="minorHAnsi"/>
          <w:color w:val="000000" w:themeColor="text1"/>
        </w:rPr>
        <w:t xml:space="preserve">- </w:t>
      </w:r>
      <w:r w:rsidRPr="008C64E2">
        <w:rPr>
          <w:rFonts w:asciiTheme="minorHAnsi" w:hAnsiTheme="minorHAnsi" w:cstheme="minorHAnsi"/>
          <w:color w:val="000000" w:themeColor="text1"/>
        </w:rPr>
        <w:t>1.3 pp). The key finding is not dramatic worsening but persistent and sustained elevation: the risk environment for cognitive decline has not meaningfully improved over the 8-year study period, suggesting the future burden may be at least as high as today</w:t>
      </w:r>
      <w:r w:rsidR="00B14D35" w:rsidRPr="008C64E2">
        <w:rPr>
          <w:rFonts w:asciiTheme="minorHAnsi" w:hAnsiTheme="minorHAnsi" w:cstheme="minorHAnsi"/>
          <w:color w:val="000000" w:themeColor="text1"/>
        </w:rPr>
        <w:t>’</w:t>
      </w:r>
      <w:r w:rsidRPr="008C64E2">
        <w:rPr>
          <w:rFonts w:asciiTheme="minorHAnsi" w:hAnsiTheme="minorHAnsi" w:cstheme="minorHAnsi"/>
          <w:color w:val="000000" w:themeColor="text1"/>
        </w:rPr>
        <w:t>s projections.</w:t>
      </w:r>
    </w:p>
    <w:p w14:paraId="09B4A1D0" w14:textId="77777777" w:rsidR="00496602" w:rsidRPr="008C64E2" w:rsidRDefault="00496602" w:rsidP="008C64E2">
      <w:pPr>
        <w:rPr>
          <w:rFonts w:asciiTheme="minorHAnsi" w:hAnsiTheme="minorHAnsi" w:cstheme="minorHAnsi"/>
          <w:color w:val="000000" w:themeColor="text1"/>
        </w:rPr>
      </w:pPr>
    </w:p>
    <w:p w14:paraId="6D76EAE2" w14:textId="050F0BD3" w:rsidR="00425FDD" w:rsidRPr="008C64E2" w:rsidRDefault="00804129" w:rsidP="008C64E2">
      <w:pPr>
        <w:rPr>
          <w:rFonts w:asciiTheme="minorHAnsi" w:hAnsiTheme="minorHAnsi" w:cstheme="minorHAnsi"/>
          <w:b/>
          <w:bCs/>
          <w:i/>
          <w:iCs/>
          <w:color w:val="000000" w:themeColor="text1"/>
        </w:rPr>
      </w:pPr>
      <w:r w:rsidRPr="008C64E2">
        <w:rPr>
          <w:rFonts w:asciiTheme="minorHAnsi" w:hAnsiTheme="minorHAnsi" w:cstheme="minorHAnsi"/>
          <w:b/>
          <w:bCs/>
          <w:i/>
          <w:iCs/>
          <w:color w:val="000000" w:themeColor="text1"/>
        </w:rPr>
        <w:t>Interactive Dashboard</w:t>
      </w:r>
    </w:p>
    <w:p w14:paraId="0ABF0504" w14:textId="5A15B236" w:rsidR="00B14D35"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 xml:space="preserve">The primary deliverable of this project is a self-contained interactive HTML dashboard, publicly accessible at: </w:t>
      </w:r>
      <w:hyperlink r:id="rId7" w:history="1">
        <w:r w:rsidRPr="008C64E2">
          <w:rPr>
            <w:rStyle w:val="Hyperlink"/>
            <w:rFonts w:asciiTheme="minorHAnsi" w:hAnsiTheme="minorHAnsi" w:cstheme="minorHAnsi"/>
            <w:color w:val="000000" w:themeColor="text1"/>
          </w:rPr>
          <w:t>https://zeemurphy.github.io/Data_205_Capstone_Project/analysis/dashboard/cognitive_decline_dashboard.html</w:t>
        </w:r>
      </w:hyperlink>
    </w:p>
    <w:p w14:paraId="42B467C6" w14:textId="6303AF4C"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The dashboard integrates CDC BRFSS data with state-specific resources into a single</w:t>
      </w:r>
      <w:r w:rsidR="007A0E18" w:rsidRPr="008C64E2">
        <w:rPr>
          <w:rFonts w:asciiTheme="minorHAnsi" w:hAnsiTheme="minorHAnsi" w:cstheme="minorHAnsi"/>
          <w:color w:val="000000" w:themeColor="text1"/>
        </w:rPr>
        <w:t>, shareable file that requires</w:t>
      </w:r>
      <w:r w:rsidR="00804129" w:rsidRPr="008C64E2">
        <w:rPr>
          <w:rFonts w:asciiTheme="minorHAnsi" w:hAnsiTheme="minorHAnsi" w:cstheme="minorHAnsi"/>
          <w:color w:val="000000" w:themeColor="text1"/>
        </w:rPr>
        <w:t xml:space="preserve"> no server, login, or software installation. Its key features include:</w:t>
      </w:r>
    </w:p>
    <w:p w14:paraId="1DFDECCD" w14:textId="0A8811DA" w:rsidR="00425FDD" w:rsidRPr="008C64E2" w:rsidRDefault="007A0E18" w:rsidP="008C64E2">
      <w:pPr>
        <w:pStyle w:val="ListParagraph"/>
        <w:numPr>
          <w:ilvl w:val="0"/>
          <w:numId w:val="2"/>
        </w:numPr>
        <w:rPr>
          <w:rFonts w:asciiTheme="minorHAnsi" w:hAnsiTheme="minorHAnsi" w:cstheme="minorHAnsi"/>
          <w:color w:val="000000" w:themeColor="text1"/>
        </w:rPr>
      </w:pPr>
      <w:r w:rsidRPr="008C64E2">
        <w:rPr>
          <w:rFonts w:asciiTheme="minorHAnsi" w:hAnsiTheme="minorHAnsi" w:cstheme="minorHAnsi"/>
          <w:color w:val="000000" w:themeColor="text1"/>
        </w:rPr>
        <w:t>Interactive U.S. choropleth map (built with Plotly.js) showing cognitive decline rates and all 10 risk/SES variables, switchable via a dropdown menu.</w:t>
      </w:r>
    </w:p>
    <w:p w14:paraId="31722E18" w14:textId="3803F2DC" w:rsidR="00425FDD" w:rsidRPr="008C64E2" w:rsidRDefault="007A0E18" w:rsidP="008C64E2">
      <w:pPr>
        <w:pStyle w:val="ListParagraph"/>
        <w:numPr>
          <w:ilvl w:val="0"/>
          <w:numId w:val="2"/>
        </w:numPr>
        <w:rPr>
          <w:rFonts w:asciiTheme="minorHAnsi" w:hAnsiTheme="minorHAnsi" w:cstheme="minorHAnsi"/>
          <w:color w:val="000000" w:themeColor="text1"/>
        </w:rPr>
      </w:pPr>
      <w:r w:rsidRPr="008C64E2">
        <w:rPr>
          <w:rFonts w:asciiTheme="minorHAnsi" w:hAnsiTheme="minorHAnsi" w:cstheme="minorHAnsi"/>
          <w:color w:val="000000" w:themeColor="text1"/>
        </w:rPr>
        <w:t>State detail panel: clicking any state opens a panel that displays its cognitive decline rate, a bar chart comparing all risk factors to the national average, and state-specific resources.</w:t>
      </w:r>
    </w:p>
    <w:p w14:paraId="045F1C59" w14:textId="77777777" w:rsidR="00425FDD" w:rsidRPr="008C64E2" w:rsidRDefault="00804129" w:rsidP="008C64E2">
      <w:pPr>
        <w:pStyle w:val="ListParagraph"/>
        <w:numPr>
          <w:ilvl w:val="0"/>
          <w:numId w:val="2"/>
        </w:numPr>
        <w:rPr>
          <w:rFonts w:asciiTheme="minorHAnsi" w:hAnsiTheme="minorHAnsi" w:cstheme="minorHAnsi"/>
          <w:color w:val="000000" w:themeColor="text1"/>
        </w:rPr>
      </w:pPr>
      <w:r w:rsidRPr="008C64E2">
        <w:rPr>
          <w:rFonts w:asciiTheme="minorHAnsi" w:hAnsiTheme="minorHAnsi" w:cstheme="minorHAnsi"/>
          <w:color w:val="000000" w:themeColor="text1"/>
        </w:rPr>
        <w:t>Curated resource links for each state: Alzheimer's Association chapter, state health/aging department, aging helpline, and Medicaid Home and Community-Based Services (HCBS) waiver information.</w:t>
      </w:r>
    </w:p>
    <w:p w14:paraId="4FCF3CB3" w14:textId="621DFC52" w:rsidR="00425FDD" w:rsidRPr="008C64E2" w:rsidRDefault="00804129" w:rsidP="008C64E2">
      <w:pPr>
        <w:pStyle w:val="ListParagraph"/>
        <w:numPr>
          <w:ilvl w:val="0"/>
          <w:numId w:val="2"/>
        </w:numPr>
        <w:rPr>
          <w:rFonts w:asciiTheme="minorHAnsi" w:hAnsiTheme="minorHAnsi" w:cstheme="minorHAnsi"/>
          <w:color w:val="000000" w:themeColor="text1"/>
        </w:rPr>
      </w:pPr>
      <w:r w:rsidRPr="008C64E2">
        <w:rPr>
          <w:rFonts w:asciiTheme="minorHAnsi" w:hAnsiTheme="minorHAnsi" w:cstheme="minorHAnsi"/>
          <w:color w:val="000000" w:themeColor="text1"/>
        </w:rPr>
        <w:t xml:space="preserve">National resources section: links to Medicare, the National Institute on Aging (NIA), the Administration for Community Living (ACL), and </w:t>
      </w:r>
      <w:proofErr w:type="spellStart"/>
      <w:r w:rsidRPr="008C64E2">
        <w:rPr>
          <w:rFonts w:asciiTheme="minorHAnsi" w:hAnsiTheme="minorHAnsi" w:cstheme="minorHAnsi"/>
          <w:color w:val="000000" w:themeColor="text1"/>
        </w:rPr>
        <w:t>BenefitsCheckUp</w:t>
      </w:r>
      <w:proofErr w:type="spellEnd"/>
      <w:r w:rsidRPr="008C64E2">
        <w:rPr>
          <w:rFonts w:asciiTheme="minorHAnsi" w:hAnsiTheme="minorHAnsi" w:cstheme="minorHAnsi"/>
          <w:color w:val="000000" w:themeColor="text1"/>
        </w:rPr>
        <w:t>.</w:t>
      </w:r>
    </w:p>
    <w:p w14:paraId="3365C728" w14:textId="77777777" w:rsidR="00B14D35" w:rsidRPr="008C64E2" w:rsidRDefault="00B14D35" w:rsidP="008C64E2">
      <w:pPr>
        <w:pStyle w:val="ListParagraph"/>
        <w:ind w:left="720"/>
        <w:rPr>
          <w:rFonts w:asciiTheme="minorHAnsi" w:hAnsiTheme="minorHAnsi" w:cstheme="minorHAnsi"/>
          <w:color w:val="000000" w:themeColor="text1"/>
        </w:rPr>
      </w:pPr>
    </w:p>
    <w:p w14:paraId="5C588BF9" w14:textId="17924998"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The dashboard's value is twofold. First, it makes complex multi-variable geographic data accessible to non-technical stakeholders</w:t>
      </w:r>
      <w:r w:rsidR="00EE71CC" w:rsidRPr="008C64E2">
        <w:rPr>
          <w:rFonts w:asciiTheme="minorHAnsi" w:hAnsiTheme="minorHAnsi" w:cstheme="minorHAnsi"/>
          <w:color w:val="000000" w:themeColor="text1"/>
        </w:rPr>
        <w:t>. A</w:t>
      </w:r>
      <w:r w:rsidR="00804129" w:rsidRPr="008C64E2">
        <w:rPr>
          <w:rFonts w:asciiTheme="minorHAnsi" w:hAnsiTheme="minorHAnsi" w:cstheme="minorHAnsi"/>
          <w:color w:val="000000" w:themeColor="text1"/>
        </w:rPr>
        <w:t xml:space="preserve"> public health official in Tennessee can immediately see how their state compares to national averages on each risk factor and access relevant state programs. Second, it bridges analysis and action: each state's resource panel directly connects data insight to available community resources, enabling the dashboard to function as both a research tool and a practical guide for older adults and their caregivers.</w:t>
      </w:r>
    </w:p>
    <w:p w14:paraId="4BFEAD57" w14:textId="31690CAF" w:rsidR="00425FDD" w:rsidRPr="008C64E2" w:rsidRDefault="00804129"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 xml:space="preserve">All 51 jurisdictions are covered with real CDC BRFSS data. The dashboard </w:t>
      </w:r>
      <w:r w:rsidR="00EE71CC" w:rsidRPr="008C64E2">
        <w:rPr>
          <w:rFonts w:asciiTheme="minorHAnsi" w:hAnsiTheme="minorHAnsi" w:cstheme="minorHAnsi"/>
          <w:color w:val="000000" w:themeColor="text1"/>
        </w:rPr>
        <w:t>is a deployable, zero-dependency data product that can be shared with state health departments, aging services</w:t>
      </w:r>
      <w:r w:rsidRPr="008C64E2">
        <w:rPr>
          <w:rFonts w:asciiTheme="minorHAnsi" w:hAnsiTheme="minorHAnsi" w:cstheme="minorHAnsi"/>
          <w:color w:val="000000" w:themeColor="text1"/>
        </w:rPr>
        <w:t xml:space="preserve"> organizations, or media outlets covering health equity.</w:t>
      </w:r>
    </w:p>
    <w:p w14:paraId="20B52B76" w14:textId="77777777" w:rsidR="00B14D35" w:rsidRPr="008C64E2" w:rsidRDefault="00B14D35" w:rsidP="008C64E2">
      <w:pPr>
        <w:jc w:val="center"/>
        <w:rPr>
          <w:rFonts w:asciiTheme="minorHAnsi" w:hAnsiTheme="minorHAnsi" w:cstheme="minorHAnsi"/>
          <w:color w:val="000000" w:themeColor="text1"/>
        </w:rPr>
      </w:pPr>
      <w:r w:rsidRPr="008C64E2">
        <w:rPr>
          <w:rFonts w:asciiTheme="minorHAnsi" w:hAnsiTheme="minorHAnsi" w:cstheme="minorHAnsi"/>
          <w:b/>
          <w:color w:val="000000" w:themeColor="text1"/>
        </w:rPr>
        <w:lastRenderedPageBreak/>
        <w:t>References</w:t>
      </w:r>
    </w:p>
    <w:p w14:paraId="1E8D7CFE" w14:textId="546E44AB" w:rsidR="00544151" w:rsidRPr="008C64E2" w:rsidRDefault="00544151" w:rsidP="008C64E2">
      <w:pPr>
        <w:ind w:left="720" w:hanging="720"/>
        <w:rPr>
          <w:rFonts w:asciiTheme="minorHAnsi" w:hAnsiTheme="minorHAnsi" w:cstheme="minorHAnsi"/>
          <w:color w:val="000000" w:themeColor="text1"/>
        </w:rPr>
      </w:pPr>
      <w:r w:rsidRPr="008C64E2">
        <w:rPr>
          <w:rFonts w:asciiTheme="minorHAnsi" w:hAnsiTheme="minorHAnsi" w:cstheme="minorHAnsi"/>
          <w:color w:val="000000" w:themeColor="text1"/>
        </w:rPr>
        <w:t xml:space="preserve">Centers for Disease Control and Prevention (U.S.) (2019). </w:t>
      </w:r>
      <w:r w:rsidRPr="008C64E2">
        <w:rPr>
          <w:rFonts w:asciiTheme="minorHAnsi" w:hAnsiTheme="minorHAnsi" w:cstheme="minorHAnsi"/>
          <w:i/>
          <w:iCs/>
          <w:color w:val="000000" w:themeColor="text1"/>
        </w:rPr>
        <w:t>Subjective Cognitive Decline — A Public Health Issue.</w:t>
      </w:r>
      <w:r w:rsidRPr="008C64E2">
        <w:rPr>
          <w:rFonts w:asciiTheme="minorHAnsi" w:hAnsiTheme="minorHAnsi" w:cstheme="minorHAnsi"/>
          <w:color w:val="000000" w:themeColor="text1"/>
        </w:rPr>
        <w:t xml:space="preserve"> https://www.doi.org/10.15620/cdc/85159</w:t>
      </w:r>
    </w:p>
    <w:p w14:paraId="2184FCD7" w14:textId="77777777" w:rsidR="00B14D35" w:rsidRPr="008C64E2" w:rsidRDefault="00B14D35" w:rsidP="008C64E2">
      <w:pPr>
        <w:ind w:left="720" w:hanging="720"/>
        <w:rPr>
          <w:rFonts w:asciiTheme="minorHAnsi" w:hAnsiTheme="minorHAnsi" w:cstheme="minorHAnsi"/>
          <w:color w:val="000000" w:themeColor="text1"/>
        </w:rPr>
      </w:pPr>
      <w:r w:rsidRPr="008C64E2">
        <w:rPr>
          <w:rFonts w:asciiTheme="minorHAnsi" w:hAnsiTheme="minorHAnsi" w:cstheme="minorHAnsi"/>
          <w:color w:val="000000" w:themeColor="text1"/>
        </w:rPr>
        <w:t xml:space="preserve">Centers for Disease Control and Prevention. (2015–2022). </w:t>
      </w:r>
      <w:r w:rsidRPr="008C64E2">
        <w:rPr>
          <w:rFonts w:asciiTheme="minorHAnsi" w:hAnsiTheme="minorHAnsi" w:cstheme="minorHAnsi"/>
          <w:i/>
          <w:color w:val="000000" w:themeColor="text1"/>
        </w:rPr>
        <w:t>Alzheimer's disease and healthy aging data</w:t>
      </w:r>
      <w:r w:rsidRPr="008C64E2">
        <w:rPr>
          <w:rFonts w:asciiTheme="minorHAnsi" w:hAnsiTheme="minorHAnsi" w:cstheme="minorHAnsi"/>
          <w:color w:val="000000" w:themeColor="text1"/>
        </w:rPr>
        <w:t xml:space="preserve"> [Data set]. Behavioral Risk Factor Surveillance System. https://data.cdc.gov/Healthy-Aging/Alzheimer-s-Disease-and-Healthy-Aging-Data/hfr9-rurv</w:t>
      </w:r>
    </w:p>
    <w:p w14:paraId="2B5522EF" w14:textId="77777777" w:rsidR="00B14D35" w:rsidRPr="008C64E2" w:rsidRDefault="00B14D35" w:rsidP="008C64E2">
      <w:pPr>
        <w:ind w:left="720" w:hanging="720"/>
        <w:rPr>
          <w:rFonts w:asciiTheme="minorHAnsi" w:hAnsiTheme="minorHAnsi" w:cstheme="minorHAnsi"/>
          <w:color w:val="000000" w:themeColor="text1"/>
        </w:rPr>
      </w:pPr>
      <w:r w:rsidRPr="008C64E2">
        <w:rPr>
          <w:rFonts w:asciiTheme="minorHAnsi" w:hAnsiTheme="minorHAnsi" w:cstheme="minorHAnsi"/>
          <w:color w:val="000000" w:themeColor="text1"/>
        </w:rPr>
        <w:t xml:space="preserve">Heymann, D., Bhupender, A., Kim, M., Bhargava, V., &amp; Cohen, C. I. (2016). The association between alcohol use and the progression of Alzheimer's disease. </w:t>
      </w:r>
      <w:r w:rsidRPr="008C64E2">
        <w:rPr>
          <w:rFonts w:asciiTheme="minorHAnsi" w:hAnsiTheme="minorHAnsi" w:cstheme="minorHAnsi"/>
          <w:i/>
          <w:color w:val="000000" w:themeColor="text1"/>
        </w:rPr>
        <w:t>Current Alzheimer Research, 13</w:t>
      </w:r>
      <w:r w:rsidRPr="008C64E2">
        <w:rPr>
          <w:rFonts w:asciiTheme="minorHAnsi" w:hAnsiTheme="minorHAnsi" w:cstheme="minorHAnsi"/>
          <w:color w:val="000000" w:themeColor="text1"/>
        </w:rPr>
        <w:t>(12), 1356–1362. https://doi.org/10.2174/1567205013666160602235558</w:t>
      </w:r>
    </w:p>
    <w:p w14:paraId="6E1F57AF" w14:textId="77777777" w:rsidR="00B14D35" w:rsidRPr="008C64E2" w:rsidRDefault="00B14D35" w:rsidP="008C64E2">
      <w:pPr>
        <w:ind w:left="720" w:hanging="720"/>
        <w:rPr>
          <w:rFonts w:asciiTheme="minorHAnsi" w:hAnsiTheme="minorHAnsi" w:cstheme="minorHAnsi"/>
          <w:color w:val="000000" w:themeColor="text1"/>
        </w:rPr>
      </w:pPr>
      <w:r w:rsidRPr="008C64E2">
        <w:rPr>
          <w:rFonts w:asciiTheme="minorHAnsi" w:hAnsiTheme="minorHAnsi" w:cstheme="minorHAnsi"/>
          <w:color w:val="000000" w:themeColor="text1"/>
        </w:rPr>
        <w:t xml:space="preserve">Nandi, A., Counts, N., Chen, S., Seligman, B., Tortorice, D., Vigo, D., &amp; Bhattacharya, J. (2024). Global and regional projections of the economic burden of Alzheimer's disease and related dementias from 2019 to 2050: A value of lost productivity approach. </w:t>
      </w:r>
      <w:r w:rsidRPr="008C64E2">
        <w:rPr>
          <w:rFonts w:asciiTheme="minorHAnsi" w:hAnsiTheme="minorHAnsi" w:cstheme="minorHAnsi"/>
          <w:i/>
          <w:color w:val="000000" w:themeColor="text1"/>
        </w:rPr>
        <w:t>eClinicalMedicine, 45</w:t>
      </w:r>
      <w:r w:rsidRPr="008C64E2">
        <w:rPr>
          <w:rFonts w:asciiTheme="minorHAnsi" w:hAnsiTheme="minorHAnsi" w:cstheme="minorHAnsi"/>
          <w:color w:val="000000" w:themeColor="text1"/>
        </w:rPr>
        <w:t>, 101580. https://doi.org/10.1016/j.eclinm.2022.101580</w:t>
      </w:r>
    </w:p>
    <w:p w14:paraId="4C18BAAA" w14:textId="77777777" w:rsidR="00B14D35" w:rsidRPr="008C64E2" w:rsidRDefault="00B14D35" w:rsidP="008C64E2">
      <w:pPr>
        <w:ind w:left="720" w:hanging="720"/>
        <w:rPr>
          <w:rFonts w:asciiTheme="minorHAnsi" w:hAnsiTheme="minorHAnsi" w:cstheme="minorHAnsi"/>
          <w:color w:val="000000" w:themeColor="text1"/>
        </w:rPr>
      </w:pPr>
      <w:r w:rsidRPr="008C64E2">
        <w:rPr>
          <w:rFonts w:asciiTheme="minorHAnsi" w:hAnsiTheme="minorHAnsi" w:cstheme="minorHAnsi"/>
          <w:color w:val="000000" w:themeColor="text1"/>
        </w:rPr>
        <w:t xml:space="preserve">Rajan, K. B., Weuve, J., Barnes, L. L., McAninch, E. A., Wilson, R. S., &amp; Evans, D. A. (2021). Population </w:t>
      </w:r>
      <w:proofErr w:type="gramStart"/>
      <w:r w:rsidRPr="008C64E2">
        <w:rPr>
          <w:rFonts w:asciiTheme="minorHAnsi" w:hAnsiTheme="minorHAnsi" w:cstheme="minorHAnsi"/>
          <w:color w:val="000000" w:themeColor="text1"/>
        </w:rPr>
        <w:t>estimate</w:t>
      </w:r>
      <w:proofErr w:type="gramEnd"/>
      <w:r w:rsidRPr="008C64E2">
        <w:rPr>
          <w:rFonts w:asciiTheme="minorHAnsi" w:hAnsiTheme="minorHAnsi" w:cstheme="minorHAnsi"/>
          <w:color w:val="000000" w:themeColor="text1"/>
        </w:rPr>
        <w:t xml:space="preserve"> of people with clinical Alzheimer's disease and mild cognitive impairment in the United States (2020–2060). </w:t>
      </w:r>
      <w:r w:rsidRPr="008C64E2">
        <w:rPr>
          <w:rFonts w:asciiTheme="minorHAnsi" w:hAnsiTheme="minorHAnsi" w:cstheme="minorHAnsi"/>
          <w:i/>
          <w:color w:val="000000" w:themeColor="text1"/>
        </w:rPr>
        <w:t>Alzheimer's &amp; Dementia, 17</w:t>
      </w:r>
      <w:r w:rsidRPr="008C64E2">
        <w:rPr>
          <w:rFonts w:asciiTheme="minorHAnsi" w:hAnsiTheme="minorHAnsi" w:cstheme="minorHAnsi"/>
          <w:color w:val="000000" w:themeColor="text1"/>
        </w:rPr>
        <w:t>(12), 1966–1975. https://doi.org/10.1002/alz.12362</w:t>
      </w:r>
    </w:p>
    <w:p w14:paraId="6D0A282D" w14:textId="4A3DA2EC" w:rsidR="00B14D35" w:rsidRPr="008C64E2" w:rsidRDefault="00B14D35" w:rsidP="008C64E2">
      <w:pPr>
        <w:ind w:left="720" w:hanging="720"/>
        <w:rPr>
          <w:rFonts w:asciiTheme="minorHAnsi" w:hAnsiTheme="minorHAnsi" w:cstheme="minorHAnsi"/>
          <w:color w:val="000000" w:themeColor="text1"/>
        </w:rPr>
      </w:pPr>
      <w:r w:rsidRPr="008C64E2">
        <w:rPr>
          <w:rFonts w:asciiTheme="minorHAnsi" w:hAnsiTheme="minorHAnsi" w:cstheme="minorHAnsi"/>
          <w:color w:val="000000" w:themeColor="text1"/>
        </w:rPr>
        <w:t xml:space="preserve">U.S. Census Bureau. (2022). </w:t>
      </w:r>
      <w:r w:rsidRPr="008C64E2">
        <w:rPr>
          <w:rFonts w:asciiTheme="minorHAnsi" w:hAnsiTheme="minorHAnsi" w:cstheme="minorHAnsi"/>
          <w:i/>
          <w:color w:val="000000" w:themeColor="text1"/>
        </w:rPr>
        <w:t>American Community Survey 5-year estimates, 2018–2022: Data profiles</w:t>
      </w:r>
      <w:r w:rsidRPr="008C64E2">
        <w:rPr>
          <w:rFonts w:asciiTheme="minorHAnsi" w:hAnsiTheme="minorHAnsi" w:cstheme="minorHAnsi"/>
          <w:color w:val="000000" w:themeColor="text1"/>
        </w:rPr>
        <w:t xml:space="preserve"> [Data set]. </w:t>
      </w:r>
      <w:r w:rsidR="0059788C" w:rsidRPr="008C64E2">
        <w:rPr>
          <w:rFonts w:asciiTheme="minorHAnsi" w:hAnsiTheme="minorHAnsi" w:cstheme="minorHAnsi"/>
          <w:color w:val="000000" w:themeColor="text1"/>
        </w:rPr>
        <w:t xml:space="preserve">https://api.census.gov/data/2022/acs/acs5/profile </w:t>
      </w:r>
    </w:p>
    <w:p w14:paraId="62A3B1E1" w14:textId="75D8448F" w:rsidR="0059788C" w:rsidRPr="008C64E2" w:rsidRDefault="0059788C" w:rsidP="008C64E2">
      <w:pPr>
        <w:ind w:left="720" w:hanging="720"/>
        <w:rPr>
          <w:rFonts w:asciiTheme="minorHAnsi" w:hAnsiTheme="minorHAnsi" w:cstheme="minorHAnsi"/>
          <w:color w:val="000000" w:themeColor="text1"/>
        </w:rPr>
      </w:pPr>
    </w:p>
    <w:p w14:paraId="04CB17F7" w14:textId="7E631580" w:rsidR="00496602" w:rsidRPr="008C64E2" w:rsidRDefault="00496602" w:rsidP="008C64E2">
      <w:pPr>
        <w:ind w:left="720" w:hanging="720"/>
        <w:rPr>
          <w:rFonts w:asciiTheme="minorHAnsi" w:hAnsiTheme="minorHAnsi" w:cstheme="minorHAnsi"/>
          <w:color w:val="000000" w:themeColor="text1"/>
        </w:rPr>
      </w:pPr>
    </w:p>
    <w:p w14:paraId="3A3CC73C" w14:textId="48B42CD3" w:rsidR="00496602" w:rsidRPr="008C64E2" w:rsidRDefault="00496602" w:rsidP="008C64E2">
      <w:pPr>
        <w:ind w:left="720" w:hanging="720"/>
        <w:rPr>
          <w:rFonts w:asciiTheme="minorHAnsi" w:hAnsiTheme="minorHAnsi" w:cstheme="minorHAnsi"/>
          <w:color w:val="000000" w:themeColor="text1"/>
        </w:rPr>
      </w:pPr>
    </w:p>
    <w:p w14:paraId="4328874C" w14:textId="03B5832C" w:rsidR="00496602" w:rsidRPr="008C64E2" w:rsidRDefault="00496602" w:rsidP="008C64E2">
      <w:pPr>
        <w:ind w:left="720" w:hanging="720"/>
        <w:rPr>
          <w:rFonts w:asciiTheme="minorHAnsi" w:hAnsiTheme="minorHAnsi" w:cstheme="minorHAnsi"/>
          <w:color w:val="000000" w:themeColor="text1"/>
        </w:rPr>
      </w:pPr>
    </w:p>
    <w:p w14:paraId="6575E8FA" w14:textId="126BD08D" w:rsidR="001A3E87" w:rsidRDefault="001A3E87" w:rsidP="008C64E2">
      <w:pPr>
        <w:ind w:left="720" w:hanging="720"/>
        <w:rPr>
          <w:rFonts w:asciiTheme="minorHAnsi" w:hAnsiTheme="minorHAnsi" w:cstheme="minorHAnsi"/>
          <w:color w:val="000000" w:themeColor="text1"/>
        </w:rPr>
      </w:pPr>
    </w:p>
    <w:p w14:paraId="4D2C6380" w14:textId="3AF211C6" w:rsidR="008C64E2" w:rsidRDefault="008C64E2" w:rsidP="008C64E2">
      <w:pPr>
        <w:ind w:left="720" w:hanging="720"/>
        <w:rPr>
          <w:rFonts w:asciiTheme="minorHAnsi" w:hAnsiTheme="minorHAnsi" w:cstheme="minorHAnsi"/>
          <w:color w:val="000000" w:themeColor="text1"/>
        </w:rPr>
      </w:pPr>
    </w:p>
    <w:p w14:paraId="73A09E76" w14:textId="73EC0448" w:rsidR="008C64E2" w:rsidRDefault="008C64E2" w:rsidP="008C64E2">
      <w:pPr>
        <w:ind w:left="720" w:hanging="720"/>
        <w:rPr>
          <w:rFonts w:asciiTheme="minorHAnsi" w:hAnsiTheme="minorHAnsi" w:cstheme="minorHAnsi"/>
          <w:color w:val="000000" w:themeColor="text1"/>
        </w:rPr>
      </w:pPr>
    </w:p>
    <w:p w14:paraId="406D4241" w14:textId="3A939A72" w:rsidR="008C64E2" w:rsidRDefault="008C64E2" w:rsidP="008C64E2">
      <w:pPr>
        <w:ind w:left="720" w:hanging="720"/>
        <w:rPr>
          <w:rFonts w:asciiTheme="minorHAnsi" w:hAnsiTheme="minorHAnsi" w:cstheme="minorHAnsi"/>
          <w:color w:val="000000" w:themeColor="text1"/>
        </w:rPr>
      </w:pPr>
    </w:p>
    <w:p w14:paraId="4B98D14B" w14:textId="40A207D5" w:rsidR="008C64E2" w:rsidRDefault="008C64E2" w:rsidP="008C64E2">
      <w:pPr>
        <w:ind w:left="720" w:hanging="720"/>
        <w:rPr>
          <w:rFonts w:asciiTheme="minorHAnsi" w:hAnsiTheme="minorHAnsi" w:cstheme="minorHAnsi"/>
          <w:color w:val="000000" w:themeColor="text1"/>
        </w:rPr>
      </w:pPr>
    </w:p>
    <w:p w14:paraId="23134B33" w14:textId="3638AEAE" w:rsidR="008C64E2" w:rsidRDefault="008C64E2" w:rsidP="008C64E2">
      <w:pPr>
        <w:ind w:left="720" w:hanging="720"/>
        <w:rPr>
          <w:rFonts w:asciiTheme="minorHAnsi" w:hAnsiTheme="minorHAnsi" w:cstheme="minorHAnsi"/>
          <w:color w:val="000000" w:themeColor="text1"/>
        </w:rPr>
      </w:pPr>
    </w:p>
    <w:p w14:paraId="37922A2B" w14:textId="7D688F1B" w:rsidR="008C64E2" w:rsidRDefault="008C64E2" w:rsidP="008C64E2">
      <w:pPr>
        <w:ind w:left="720" w:hanging="720"/>
        <w:rPr>
          <w:rFonts w:asciiTheme="minorHAnsi" w:hAnsiTheme="minorHAnsi" w:cstheme="minorHAnsi"/>
          <w:color w:val="000000" w:themeColor="text1"/>
        </w:rPr>
      </w:pPr>
    </w:p>
    <w:p w14:paraId="2F46F6B2" w14:textId="5072D61E" w:rsidR="008C64E2" w:rsidRDefault="008C64E2" w:rsidP="008C64E2">
      <w:pPr>
        <w:ind w:left="720" w:hanging="720"/>
        <w:rPr>
          <w:rFonts w:asciiTheme="minorHAnsi" w:hAnsiTheme="minorHAnsi" w:cstheme="minorHAnsi"/>
          <w:color w:val="000000" w:themeColor="text1"/>
        </w:rPr>
      </w:pPr>
    </w:p>
    <w:p w14:paraId="608D135D" w14:textId="1F2CC827" w:rsidR="008C64E2" w:rsidRDefault="008C64E2" w:rsidP="008C64E2">
      <w:pPr>
        <w:ind w:left="720" w:hanging="720"/>
        <w:rPr>
          <w:rFonts w:asciiTheme="minorHAnsi" w:hAnsiTheme="minorHAnsi" w:cstheme="minorHAnsi"/>
          <w:color w:val="000000" w:themeColor="text1"/>
        </w:rPr>
      </w:pPr>
    </w:p>
    <w:p w14:paraId="14075331" w14:textId="780F3C2A" w:rsidR="008C64E2" w:rsidRDefault="008C64E2" w:rsidP="008C64E2">
      <w:pPr>
        <w:ind w:left="720" w:hanging="720"/>
        <w:rPr>
          <w:rFonts w:asciiTheme="minorHAnsi" w:hAnsiTheme="minorHAnsi" w:cstheme="minorHAnsi"/>
          <w:color w:val="000000" w:themeColor="text1"/>
        </w:rPr>
      </w:pPr>
    </w:p>
    <w:p w14:paraId="7B840E64" w14:textId="14290B57" w:rsidR="008C64E2" w:rsidRDefault="008C64E2" w:rsidP="008C64E2">
      <w:pPr>
        <w:ind w:left="720" w:hanging="720"/>
        <w:rPr>
          <w:rFonts w:asciiTheme="minorHAnsi" w:hAnsiTheme="minorHAnsi" w:cstheme="minorHAnsi"/>
          <w:color w:val="000000" w:themeColor="text1"/>
        </w:rPr>
      </w:pPr>
    </w:p>
    <w:p w14:paraId="05A4C992" w14:textId="1DD5AC06" w:rsidR="008C64E2" w:rsidRDefault="008C64E2" w:rsidP="008C64E2">
      <w:pPr>
        <w:ind w:left="720" w:hanging="720"/>
        <w:rPr>
          <w:rFonts w:asciiTheme="minorHAnsi" w:hAnsiTheme="minorHAnsi" w:cstheme="minorHAnsi"/>
          <w:color w:val="000000" w:themeColor="text1"/>
        </w:rPr>
      </w:pPr>
    </w:p>
    <w:p w14:paraId="29352EAF" w14:textId="784CB481" w:rsidR="008C64E2" w:rsidRDefault="008C64E2" w:rsidP="008C64E2">
      <w:pPr>
        <w:ind w:left="720" w:hanging="720"/>
        <w:rPr>
          <w:rFonts w:asciiTheme="minorHAnsi" w:hAnsiTheme="minorHAnsi" w:cstheme="minorHAnsi"/>
          <w:color w:val="000000" w:themeColor="text1"/>
        </w:rPr>
      </w:pPr>
    </w:p>
    <w:p w14:paraId="31B5BD43" w14:textId="242A8BAF" w:rsidR="008C64E2" w:rsidRDefault="008C64E2" w:rsidP="008C64E2">
      <w:pPr>
        <w:ind w:left="720" w:hanging="720"/>
        <w:rPr>
          <w:rFonts w:asciiTheme="minorHAnsi" w:hAnsiTheme="minorHAnsi" w:cstheme="minorHAnsi"/>
          <w:color w:val="000000" w:themeColor="text1"/>
        </w:rPr>
      </w:pPr>
    </w:p>
    <w:p w14:paraId="0F3D71F9" w14:textId="434A162E" w:rsidR="008C64E2" w:rsidRDefault="008C64E2" w:rsidP="008C64E2">
      <w:pPr>
        <w:ind w:left="720" w:hanging="720"/>
        <w:rPr>
          <w:rFonts w:asciiTheme="minorHAnsi" w:hAnsiTheme="minorHAnsi" w:cstheme="minorHAnsi"/>
          <w:color w:val="000000" w:themeColor="text1"/>
        </w:rPr>
      </w:pPr>
    </w:p>
    <w:p w14:paraId="0C41A972" w14:textId="4E0E3FDF" w:rsidR="008C64E2" w:rsidRDefault="008C64E2" w:rsidP="008C64E2">
      <w:pPr>
        <w:ind w:left="720" w:hanging="720"/>
        <w:rPr>
          <w:rFonts w:asciiTheme="minorHAnsi" w:hAnsiTheme="minorHAnsi" w:cstheme="minorHAnsi"/>
          <w:color w:val="000000" w:themeColor="text1"/>
        </w:rPr>
      </w:pPr>
    </w:p>
    <w:p w14:paraId="13B53677" w14:textId="29F72EA6" w:rsidR="008C64E2" w:rsidRDefault="008C64E2" w:rsidP="008C64E2">
      <w:pPr>
        <w:ind w:left="720" w:hanging="720"/>
        <w:rPr>
          <w:rFonts w:asciiTheme="minorHAnsi" w:hAnsiTheme="minorHAnsi" w:cstheme="minorHAnsi"/>
          <w:color w:val="000000" w:themeColor="text1"/>
        </w:rPr>
      </w:pPr>
    </w:p>
    <w:p w14:paraId="0AC571B9" w14:textId="77777777" w:rsidR="008C64E2" w:rsidRPr="008C64E2" w:rsidRDefault="008C64E2" w:rsidP="008C64E2">
      <w:pPr>
        <w:ind w:left="720" w:hanging="720"/>
        <w:rPr>
          <w:rFonts w:asciiTheme="minorHAnsi" w:hAnsiTheme="minorHAnsi" w:cstheme="minorHAnsi"/>
          <w:color w:val="000000" w:themeColor="text1"/>
        </w:rPr>
      </w:pPr>
    </w:p>
    <w:p w14:paraId="458C7603" w14:textId="77777777" w:rsidR="001A3E87" w:rsidRPr="008C64E2" w:rsidRDefault="001A3E87" w:rsidP="008C64E2">
      <w:pPr>
        <w:ind w:left="720" w:hanging="720"/>
        <w:rPr>
          <w:rFonts w:asciiTheme="minorHAnsi" w:hAnsiTheme="minorHAnsi" w:cstheme="minorHAnsi"/>
          <w:color w:val="000000" w:themeColor="text1"/>
        </w:rPr>
      </w:pPr>
    </w:p>
    <w:p w14:paraId="6DA4DC5C" w14:textId="77777777" w:rsidR="00496602" w:rsidRPr="008C64E2" w:rsidRDefault="00496602" w:rsidP="008C64E2">
      <w:pPr>
        <w:ind w:left="720" w:hanging="720"/>
        <w:rPr>
          <w:rFonts w:asciiTheme="minorHAnsi" w:hAnsiTheme="minorHAnsi" w:cstheme="minorHAnsi"/>
          <w:color w:val="000000" w:themeColor="text1"/>
        </w:rPr>
      </w:pPr>
    </w:p>
    <w:p w14:paraId="53F239DC" w14:textId="53A86A66" w:rsidR="008C64E2" w:rsidRDefault="00804129" w:rsidP="008C64E2">
      <w:pPr>
        <w:pStyle w:val="Heading1"/>
        <w:spacing w:before="0" w:after="0"/>
        <w:jc w:val="center"/>
        <w:rPr>
          <w:rFonts w:asciiTheme="minorHAnsi" w:hAnsiTheme="minorHAnsi" w:cstheme="minorHAnsi"/>
          <w:color w:val="000000" w:themeColor="text1"/>
          <w:sz w:val="24"/>
          <w:szCs w:val="24"/>
        </w:rPr>
      </w:pPr>
      <w:r w:rsidRPr="008C64E2">
        <w:rPr>
          <w:rFonts w:asciiTheme="minorHAnsi" w:hAnsiTheme="minorHAnsi" w:cstheme="minorHAnsi"/>
          <w:color w:val="000000" w:themeColor="text1"/>
          <w:sz w:val="24"/>
          <w:szCs w:val="24"/>
        </w:rPr>
        <w:lastRenderedPageBreak/>
        <w:t>Acknowledgements</w:t>
      </w:r>
    </w:p>
    <w:p w14:paraId="7F069AA0" w14:textId="77777777" w:rsidR="008C64E2" w:rsidRPr="008C64E2" w:rsidRDefault="008C64E2" w:rsidP="008C64E2">
      <w:pPr>
        <w:pStyle w:val="Heading1"/>
        <w:spacing w:before="0" w:after="0"/>
        <w:jc w:val="center"/>
        <w:rPr>
          <w:rFonts w:asciiTheme="minorHAnsi" w:hAnsiTheme="minorHAnsi" w:cstheme="minorHAnsi"/>
          <w:color w:val="000000" w:themeColor="text1"/>
          <w:sz w:val="24"/>
          <w:szCs w:val="24"/>
        </w:rPr>
      </w:pPr>
    </w:p>
    <w:p w14:paraId="546BCEB2" w14:textId="6200684E" w:rsidR="00425FDD" w:rsidRPr="008C64E2" w:rsidRDefault="00B14D35" w:rsidP="008C64E2">
      <w:pPr>
        <w:rPr>
          <w:rFonts w:asciiTheme="minorHAnsi" w:hAnsiTheme="minorHAnsi" w:cstheme="minorHAnsi"/>
          <w:color w:val="000000" w:themeColor="text1"/>
        </w:rPr>
      </w:pPr>
      <w:r w:rsidRPr="008C64E2">
        <w:rPr>
          <w:rFonts w:asciiTheme="minorHAnsi" w:hAnsiTheme="minorHAnsi" w:cstheme="minorHAnsi"/>
          <w:color w:val="000000" w:themeColor="text1"/>
        </w:rPr>
        <w:tab/>
      </w:r>
      <w:r w:rsidR="00804129" w:rsidRPr="008C64E2">
        <w:rPr>
          <w:rFonts w:asciiTheme="minorHAnsi" w:hAnsiTheme="minorHAnsi" w:cstheme="minorHAnsi"/>
          <w:color w:val="000000" w:themeColor="text1"/>
        </w:rPr>
        <w:t xml:space="preserve">I would like to thank Professor Lori Perine for her instruction and guidance throughout the DATA 205 Capstone course at Montgomery College, Spring 2026. The CDC BRFSS Healthy Aging dataset and the U.S. Census Bureau ACS data are publicly available resources made accessible by the agencies. The interactive dashboard was built using Plotly (open source), and all analysis was conducted using the Python scientific ecosystem (Pandas, NumPy, Matplotlib, Seaborn, Scikit-learn, SciPy). GitHub Pages </w:t>
      </w:r>
      <w:r w:rsidR="00EE71CC" w:rsidRPr="008C64E2">
        <w:rPr>
          <w:rFonts w:asciiTheme="minorHAnsi" w:hAnsiTheme="minorHAnsi" w:cstheme="minorHAnsi"/>
          <w:color w:val="000000" w:themeColor="text1"/>
        </w:rPr>
        <w:t>provides</w:t>
      </w:r>
      <w:r w:rsidR="00804129" w:rsidRPr="008C64E2">
        <w:rPr>
          <w:rFonts w:asciiTheme="minorHAnsi" w:hAnsiTheme="minorHAnsi" w:cstheme="minorHAnsi"/>
          <w:color w:val="000000" w:themeColor="text1"/>
        </w:rPr>
        <w:t xml:space="preserve"> free hosting for the dashboard. No external funding was received for this project.</w:t>
      </w:r>
    </w:p>
    <w:sectPr w:rsidR="00425FDD" w:rsidRPr="008C64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7203"/>
    <w:multiLevelType w:val="hybridMultilevel"/>
    <w:tmpl w:val="5A525D12"/>
    <w:lvl w:ilvl="0" w:tplc="04A6BDC2">
      <w:start w:val="1"/>
      <w:numFmt w:val="bullet"/>
      <w:lvlText w:val="•"/>
      <w:lvlJc w:val="left"/>
      <w:pPr>
        <w:ind w:left="720" w:hanging="360"/>
      </w:pPr>
    </w:lvl>
    <w:lvl w:ilvl="1" w:tplc="35461122">
      <w:numFmt w:val="decimal"/>
      <w:lvlText w:val=""/>
      <w:lvlJc w:val="left"/>
    </w:lvl>
    <w:lvl w:ilvl="2" w:tplc="89A29280">
      <w:numFmt w:val="decimal"/>
      <w:lvlText w:val=""/>
      <w:lvlJc w:val="left"/>
    </w:lvl>
    <w:lvl w:ilvl="3" w:tplc="B14A0B36">
      <w:numFmt w:val="decimal"/>
      <w:lvlText w:val=""/>
      <w:lvlJc w:val="left"/>
    </w:lvl>
    <w:lvl w:ilvl="4" w:tplc="70C0FE7A">
      <w:numFmt w:val="decimal"/>
      <w:lvlText w:val=""/>
      <w:lvlJc w:val="left"/>
    </w:lvl>
    <w:lvl w:ilvl="5" w:tplc="47E44AEA">
      <w:numFmt w:val="decimal"/>
      <w:lvlText w:val=""/>
      <w:lvlJc w:val="left"/>
    </w:lvl>
    <w:lvl w:ilvl="6" w:tplc="6B9CDAFC">
      <w:numFmt w:val="decimal"/>
      <w:lvlText w:val=""/>
      <w:lvlJc w:val="left"/>
    </w:lvl>
    <w:lvl w:ilvl="7" w:tplc="B4E09F0C">
      <w:numFmt w:val="decimal"/>
      <w:lvlText w:val=""/>
      <w:lvlJc w:val="left"/>
    </w:lvl>
    <w:lvl w:ilvl="8" w:tplc="01520C44">
      <w:numFmt w:val="decimal"/>
      <w:lvlText w:val=""/>
      <w:lvlJc w:val="left"/>
    </w:lvl>
  </w:abstractNum>
  <w:abstractNum w:abstractNumId="1" w15:restartNumberingAfterBreak="0">
    <w:nsid w:val="4DFF7BEA"/>
    <w:multiLevelType w:val="hybridMultilevel"/>
    <w:tmpl w:val="1ADCB18E"/>
    <w:lvl w:ilvl="0" w:tplc="3E7687BC">
      <w:start w:val="1"/>
      <w:numFmt w:val="bullet"/>
      <w:lvlText w:val="●"/>
      <w:lvlJc w:val="left"/>
      <w:pPr>
        <w:ind w:left="720" w:hanging="360"/>
      </w:pPr>
    </w:lvl>
    <w:lvl w:ilvl="1" w:tplc="98D46E44">
      <w:start w:val="1"/>
      <w:numFmt w:val="bullet"/>
      <w:lvlText w:val="○"/>
      <w:lvlJc w:val="left"/>
      <w:pPr>
        <w:ind w:left="1440" w:hanging="360"/>
      </w:pPr>
    </w:lvl>
    <w:lvl w:ilvl="2" w:tplc="C450A286">
      <w:start w:val="1"/>
      <w:numFmt w:val="bullet"/>
      <w:lvlText w:val="■"/>
      <w:lvlJc w:val="left"/>
      <w:pPr>
        <w:ind w:left="2160" w:hanging="360"/>
      </w:pPr>
    </w:lvl>
    <w:lvl w:ilvl="3" w:tplc="801C4404">
      <w:start w:val="1"/>
      <w:numFmt w:val="bullet"/>
      <w:lvlText w:val="●"/>
      <w:lvlJc w:val="left"/>
      <w:pPr>
        <w:ind w:left="2880" w:hanging="360"/>
      </w:pPr>
    </w:lvl>
    <w:lvl w:ilvl="4" w:tplc="D33E710E">
      <w:start w:val="1"/>
      <w:numFmt w:val="bullet"/>
      <w:lvlText w:val="○"/>
      <w:lvlJc w:val="left"/>
      <w:pPr>
        <w:ind w:left="3600" w:hanging="360"/>
      </w:pPr>
    </w:lvl>
    <w:lvl w:ilvl="5" w:tplc="A3D01510">
      <w:start w:val="1"/>
      <w:numFmt w:val="bullet"/>
      <w:lvlText w:val="■"/>
      <w:lvlJc w:val="left"/>
      <w:pPr>
        <w:ind w:left="4320" w:hanging="360"/>
      </w:pPr>
    </w:lvl>
    <w:lvl w:ilvl="6" w:tplc="778CCD6A">
      <w:start w:val="1"/>
      <w:numFmt w:val="bullet"/>
      <w:lvlText w:val="●"/>
      <w:lvlJc w:val="left"/>
      <w:pPr>
        <w:ind w:left="5040" w:hanging="360"/>
      </w:pPr>
    </w:lvl>
    <w:lvl w:ilvl="7" w:tplc="00E6EA8A">
      <w:start w:val="1"/>
      <w:numFmt w:val="bullet"/>
      <w:lvlText w:val="●"/>
      <w:lvlJc w:val="left"/>
      <w:pPr>
        <w:ind w:left="5760" w:hanging="360"/>
      </w:pPr>
    </w:lvl>
    <w:lvl w:ilvl="8" w:tplc="717655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FDD"/>
    <w:rsid w:val="000C4B39"/>
    <w:rsid w:val="001966C7"/>
    <w:rsid w:val="001A3E87"/>
    <w:rsid w:val="0029523A"/>
    <w:rsid w:val="00425FDD"/>
    <w:rsid w:val="00496602"/>
    <w:rsid w:val="004B6580"/>
    <w:rsid w:val="00544151"/>
    <w:rsid w:val="0059788C"/>
    <w:rsid w:val="007A0E18"/>
    <w:rsid w:val="007F499B"/>
    <w:rsid w:val="00804129"/>
    <w:rsid w:val="00821E1F"/>
    <w:rsid w:val="008C64E2"/>
    <w:rsid w:val="00B030D1"/>
    <w:rsid w:val="00B14D35"/>
    <w:rsid w:val="00EE71CC"/>
    <w:rsid w:val="00FA72D4"/>
    <w:rsid w:val="00FB5F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FF65"/>
  <w15:docId w15:val="{45EEFD84-78E8-4670-A3AE-F55DFA0C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4057"/>
      <w:sz w:val="28"/>
      <w:szCs w:val="28"/>
    </w:rPr>
  </w:style>
  <w:style w:type="paragraph" w:styleId="Heading2">
    <w:name w:val="heading 2"/>
    <w:uiPriority w:val="9"/>
    <w:semiHidden/>
    <w:unhideWhenUsed/>
    <w:qFormat/>
    <w:pPr>
      <w:spacing w:before="180" w:after="8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96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36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emurphy.github.io/Data_205_Capstone_Project/analysis/dashboard/cognitive_decline_dashboar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8</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Zivar S Murphy</cp:lastModifiedBy>
  <cp:revision>6</cp:revision>
  <dcterms:created xsi:type="dcterms:W3CDTF">2026-05-12T17:52:00Z</dcterms:created>
  <dcterms:modified xsi:type="dcterms:W3CDTF">2026-05-13T13:47:00Z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b1ca08c1-e152-41a9-a443-70aace2b44e8</vt:lpwstr>
  </property>
</Properties>
</file>