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AI Forex Trading — Hub Page Content</w:t>
      </w:r>
    </w:p>
    <w:p>
      <w:pPr>
        <w:spacing w:after="120"/>
      </w:pPr>
      <w:r>
        <w:rPr>
          <w:color w:val="595959"/>
        </w:rPr>
        <w:t xml:space="preserve">URL: /ai-forex-trading | Primary: "AI forex trading" | Secondary: "forex trading Australia", "automated forex trading", "forex trading bot", "forex market hours Australia" | ~1,450 words | Primary keyword used 5x in body + meta</w:t>
      </w:r>
    </w:p>
    <w:p>
      <w:pPr>
        <w:spacing w:after="120"/>
      </w:pPr>
      <w:r>
        <w:rPr>
          <w:i/>
          <w:iCs/>
          <w:color w:val="7F7F7F"/>
          <w:sz w:val="20"/>
          <w:szCs w:val="20"/>
        </w:rPr>
        <w:t xml:space="preserve">Editor note: Confirm the currency pair list and leverage offered by the partner broker. Keep the ASIC leverage table only if the broker is ASIC-licensed. Keep signals framed as general information, not personal advice.</w:t>
      </w:r>
    </w:p>
    <w:p>
      <w:pPr>
        <w:pBdr>
          <w:bottom w:val="single" w:color="1F3A5F" w:sz="6" w:space="4"/>
        </w:pBdr>
        <w:spacing w:after="120" w:before="360"/>
      </w:pPr>
      <w:r>
        <w:rPr>
          <w:b/>
          <w:bCs/>
          <w:caps/>
          <w:color w:val="1F3A5F"/>
          <w:sz w:val="20"/>
          <w:szCs w:val="20"/>
        </w:rPr>
        <w:t xml:space="preserve">SEO Meta</w:t>
      </w:r>
    </w:p>
    <w:p>
      <w:pPr>
        <w:spacing w:after="120"/>
      </w:pPr>
      <w:r>
        <w:rPr>
          <w:b/>
          <w:bCs/>
        </w:rPr>
        <w:t xml:space="preserve">Meta Title:</w:t>
      </w:r>
      <w:r>
        <w:t xml:space="preserve"> AI Forex Trading in Australia | Trade AUD/USD 24/5 with Zephgain</w:t>
      </w:r>
    </w:p>
    <w:p>
      <w:pPr>
        <w:spacing w:after="120"/>
      </w:pPr>
      <w:r>
        <w:rPr>
          <w:b/>
          <w:bCs/>
        </w:rPr>
        <w:t xml:space="preserve">Meta Description:</w:t>
      </w:r>
      <w:r>
        <w:t xml:space="preserve"> Trade AUD/USD, EUR/USD and more with an AI that watches every forex session, even while you sleep. Built-in risk limits and a low AU$250 start. Register free.</w:t>
      </w:r>
    </w:p>
    <w:p>
      <w:pPr>
        <w:pBdr>
          <w:bottom w:val="single" w:color="1F3A5F" w:sz="6" w:space="4"/>
        </w:pBdr>
        <w:spacing w:after="120" w:before="360"/>
      </w:pPr>
      <w:r>
        <w:rPr>
          <w:b/>
          <w:bCs/>
          <w:caps/>
          <w:color w:val="1F3A5F"/>
          <w:sz w:val="20"/>
          <w:szCs w:val="20"/>
        </w:rPr>
        <w:t xml:space="preserve">Hero</w:t>
      </w:r>
    </w:p>
    <w:p>
      <w:pPr>
        <w:pStyle w:val="Heading1"/>
        <w:spacing w:after="120" w:before="240"/>
      </w:pPr>
      <w:r>
        <w:t xml:space="preserve">AI Forex Trading in Australia: Trade Currencies Smarter, Day and Night</w:t>
      </w:r>
    </w:p>
    <w:p>
      <w:pPr>
        <w:spacing w:after="120"/>
      </w:pPr>
      <w:r>
        <w:t xml:space="preserve">The biggest forex moves often happen while Australia sleeps, when London and New York are open. Zephgain's AI watches every session, reads economic news in real time and trades currency pairs inside the limits you set. You wake up to results, not missed chances.</w:t>
      </w:r>
    </w:p>
    <w:p>
      <w:pPr>
        <w:pStyle w:val="ListParagraph"/>
        <w:numPr>
          <w:ilvl w:val="0"/>
          <w:numId w:val="2"/>
        </w:numPr>
        <w:spacing w:after="60"/>
      </w:pPr>
      <w:r>
        <w:t xml:space="preserve">AUD/USD, EUR/USD, USD/JPY and more</w:t>
      </w:r>
    </w:p>
    <w:p>
      <w:pPr>
        <w:pStyle w:val="ListParagraph"/>
        <w:numPr>
          <w:ilvl w:val="0"/>
          <w:numId w:val="2"/>
        </w:numPr>
        <w:spacing w:after="60"/>
      </w:pPr>
      <w:r>
        <w:t xml:space="preserve">Covers the London and New York sessions overnight</w:t>
      </w:r>
    </w:p>
    <w:p>
      <w:pPr>
        <w:pStyle w:val="ListParagraph"/>
        <w:numPr>
          <w:ilvl w:val="0"/>
          <w:numId w:val="2"/>
        </w:numPr>
        <w:spacing w:after="60"/>
      </w:pPr>
      <w:r>
        <w:t xml:space="preserve">Start from AU$250</w:t>
      </w:r>
    </w:p>
    <w:p>
      <w:pPr>
        <w:pStyle w:val="ListParagraph"/>
        <w:numPr>
          <w:ilvl w:val="0"/>
          <w:numId w:val="2"/>
        </w:numPr>
        <w:spacing w:after="60"/>
      </w:pPr>
      <w:r>
        <w:t xml:space="preserve">Stop-loss and daily limits on every trade</w:t>
      </w:r>
    </w:p>
    <w:p>
      <w:pPr>
        <w:spacing w:after="200" w:before="120"/>
      </w:pPr>
      <w:r>
        <w:rPr>
          <w:b/>
          <w:bCs/>
        </w:rPr>
        <w:t xml:space="preserve">CTA Button: </w:t>
      </w:r>
      <w:r>
        <w:rPr>
          <w:b/>
          <w:bCs/>
          <w:color w:val="FFFFFF"/>
          <w:shd w:fill="1F7A4D" w:color="auto" w:val="clear"/>
        </w:rPr>
        <w:t xml:space="preserve"> Start Trading Forex with AI </w:t>
      </w:r>
    </w:p>
    <w:p>
      <w:pPr>
        <w:pBdr>
          <w:bottom w:val="single" w:color="1F3A5F" w:sz="6" w:space="4"/>
        </w:pBdr>
        <w:spacing w:after="120" w:before="360"/>
      </w:pPr>
      <w:r>
        <w:rPr>
          <w:b/>
          <w:bCs/>
          <w:caps/>
          <w:color w:val="1F3A5F"/>
          <w:sz w:val="20"/>
          <w:szCs w:val="20"/>
        </w:rPr>
        <w:t xml:space="preserve">Section 2 — Definition (Featured Snippet)</w:t>
      </w:r>
    </w:p>
    <w:p>
      <w:pPr>
        <w:pStyle w:val="Heading2"/>
        <w:spacing w:after="120" w:before="240"/>
      </w:pPr>
      <w:r>
        <w:t xml:space="preserve">What Is AI Forex Trading?</w:t>
      </w:r>
    </w:p>
    <w:p>
      <w:pPr>
        <w:spacing w:after="120"/>
      </w:pPr>
      <w:r>
        <w:t xml:space="preserve">AI forex trading uses artificial intelligence to analyse currency markets and place or suggest trades. The AI studies price charts, interest rates, economic data and news, then spots patterns in pairs like AUD/USD. It can trade automatically or send you signals to approve.</w:t>
      </w:r>
    </w:p>
    <w:p>
      <w:pPr>
        <w:pBdr>
          <w:bottom w:val="single" w:color="1F3A5F" w:sz="6" w:space="4"/>
        </w:pBdr>
        <w:spacing w:after="120" w:before="360"/>
      </w:pPr>
      <w:r>
        <w:rPr>
          <w:b/>
          <w:bCs/>
          <w:caps/>
          <w:color w:val="1F3A5F"/>
          <w:sz w:val="20"/>
          <w:szCs w:val="20"/>
        </w:rPr>
        <w:t xml:space="preserve">Section 3 — Why Forex + AI</w:t>
      </w:r>
    </w:p>
    <w:p>
      <w:pPr>
        <w:pStyle w:val="Heading2"/>
        <w:spacing w:after="120" w:before="240"/>
      </w:pPr>
      <w:r>
        <w:t xml:space="preserve">Why the Forex Market Suits AI</w:t>
      </w:r>
    </w:p>
    <w:p>
      <w:pPr>
        <w:spacing w:after="120"/>
      </w:pPr>
      <w:r>
        <w:t xml:space="preserve">Forex is the largest financial market in the world, with about US$9.6 trillion traded every day, according to the 2025 BIS Triennial Survey. In Australia alone, daily turnover hit US$201 billion, and AUD/USD made up 41% of it (RBA, 2025).</w:t>
      </w:r>
    </w:p>
    <w:p>
      <w:pPr>
        <w:spacing w:after="120"/>
      </w:pPr>
      <w:r>
        <w:t xml:space="preserve">That size and speed make forex a natural fit for AI:</w:t>
      </w:r>
    </w:p>
    <w:p>
      <w:pPr>
        <w:pStyle w:val="ListParagraph"/>
        <w:numPr>
          <w:ilvl w:val="0"/>
          <w:numId w:val="2"/>
        </w:numPr>
        <w:spacing w:after="60"/>
      </w:pPr>
      <w:r>
        <w:rPr>
          <w:b/>
          <w:bCs/>
        </w:rPr>
        <w:t xml:space="preserve">It runs 24 hours, 5 days a week.</w:t>
      </w:r>
      <w:r>
        <w:t xml:space="preserve"> AI never needs a break.</w:t>
      </w:r>
    </w:p>
    <w:p>
      <w:pPr>
        <w:pStyle w:val="ListParagraph"/>
        <w:numPr>
          <w:ilvl w:val="0"/>
          <w:numId w:val="2"/>
        </w:numPr>
        <w:spacing w:after="60"/>
      </w:pPr>
      <w:r>
        <w:rPr>
          <w:b/>
          <w:bCs/>
        </w:rPr>
        <w:t xml:space="preserve">News moves prices fast.</w:t>
      </w:r>
      <w:r>
        <w:t xml:space="preserve"> RBA, US Fed and jobs data can shift a pair in seconds.</w:t>
      </w:r>
    </w:p>
    <w:p>
      <w:pPr>
        <w:pStyle w:val="ListParagraph"/>
        <w:numPr>
          <w:ilvl w:val="0"/>
          <w:numId w:val="2"/>
        </w:numPr>
        <w:spacing w:after="60"/>
      </w:pPr>
      <w:r>
        <w:rPr>
          <w:b/>
          <w:bCs/>
        </w:rPr>
        <w:t xml:space="preserve">Many pairs, many signals.</w:t>
      </w:r>
      <w:r>
        <w:t xml:space="preserve"> AI can track dozens of pairs at once.</w:t>
      </w:r>
    </w:p>
    <w:p>
      <w:pPr>
        <w:pStyle w:val="ListParagraph"/>
        <w:numPr>
          <w:ilvl w:val="0"/>
          <w:numId w:val="2"/>
        </w:numPr>
        <w:spacing w:after="60"/>
      </w:pPr>
      <w:r>
        <w:rPr>
          <w:b/>
          <w:bCs/>
        </w:rPr>
        <w:t xml:space="preserve">Small moves add up.</w:t>
      </w:r>
      <w:r>
        <w:t xml:space="preserve"> AI reacts to price changes too quick for most people to catch.</w:t>
      </w:r>
    </w:p>
    <w:p>
      <w:pPr>
        <w:pBdr>
          <w:bottom w:val="single" w:color="1F3A5F" w:sz="6" w:space="4"/>
        </w:pBdr>
        <w:spacing w:after="120" w:before="360"/>
      </w:pPr>
      <w:r>
        <w:rPr>
          <w:b/>
          <w:bCs/>
          <w:caps/>
          <w:color w:val="1F3A5F"/>
          <w:sz w:val="20"/>
          <w:szCs w:val="20"/>
        </w:rPr>
        <w:t xml:space="preserve">Section 4 — AU Market Hours (AU-specific snippet)</w:t>
      </w:r>
    </w:p>
    <w:p>
      <w:pPr>
        <w:pStyle w:val="Heading2"/>
        <w:spacing w:after="120" w:before="240"/>
      </w:pPr>
      <w:r>
        <w:t xml:space="preserve">Forex Market Hours in Australia (AEST)</w:t>
      </w:r>
    </w:p>
    <w:p>
      <w:pPr>
        <w:spacing w:after="120"/>
      </w:pPr>
      <w:r>
        <w:t xml:space="preserve">The forex market opens at about 8am AEST Monday and closes at about 8am AEST Saturday. Here is when each session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c>
          <w:tcPr>
            <w:tcW w:type="dxa" w:w="2000"/>
            <w:shd w:fill="1F3A5F" w:color="auto" w:val="clear"/>
            <w:tcMar>
              <w:top w:type="dxa" w:w="80"/>
              <w:left w:type="dxa" w:w="120"/>
              <w:bottom w:type="dxa" w:w="80"/>
              <w:right w:type="dxa" w:w="120"/>
            </w:tcMar>
          </w:tcPr>
          <w:p>
            <w:r>
              <w:rPr>
                <w:b/>
                <w:bCs/>
                <w:color w:val="FFFFFF"/>
              </w:rPr>
              <w:t xml:space="preserve">Session</w:t>
            </w:r>
          </w:p>
        </w:tc>
        <w:tc>
          <w:tcPr>
            <w:tcW w:type="dxa" w:w="3013"/>
            <w:shd w:fill="1F3A5F" w:color="auto" w:val="clear"/>
            <w:tcMar>
              <w:top w:type="dxa" w:w="80"/>
              <w:left w:type="dxa" w:w="120"/>
              <w:bottom w:type="dxa" w:w="80"/>
              <w:right w:type="dxa" w:w="120"/>
            </w:tcMar>
          </w:tcPr>
          <w:p>
            <w:r>
              <w:rPr>
                <w:b/>
                <w:bCs/>
                <w:color w:val="FFFFFF"/>
              </w:rPr>
              <w:t xml:space="preserve">Approx. hours (AEST)</w:t>
            </w:r>
          </w:p>
        </w:tc>
        <w:tc>
          <w:tcPr>
            <w:tcW w:type="dxa" w:w="4013"/>
            <w:shd w:fill="1F3A5F" w:color="auto" w:val="clear"/>
            <w:tcMar>
              <w:top w:type="dxa" w:w="80"/>
              <w:left w:type="dxa" w:w="120"/>
              <w:bottom w:type="dxa" w:w="80"/>
              <w:right w:type="dxa" w:w="120"/>
            </w:tcMar>
          </w:tcPr>
          <w:p>
            <w:r>
              <w:rPr>
                <w:b/>
                <w:bCs/>
                <w:color w:val="FFFFFF"/>
              </w:rPr>
              <w:t xml:space="preserve">What to expect</w:t>
            </w:r>
          </w:p>
        </w:tc>
      </w:tr>
      <w:tr>
        <w:tc>
          <w:tcPr>
            <w:tcW w:type="dxa" w:w="2000"/>
            <w:tcMar>
              <w:top w:type="dxa" w:w="80"/>
              <w:left w:type="dxa" w:w="120"/>
              <w:bottom w:type="dxa" w:w="80"/>
              <w:right w:type="dxa" w:w="120"/>
            </w:tcMar>
          </w:tcPr>
          <w:p>
            <w:r>
              <w:rPr>
                <w:b w:val="false"/>
                <w:bCs w:val="false"/>
              </w:rPr>
              <w:t xml:space="preserve">Sydney</w:t>
            </w:r>
          </w:p>
        </w:tc>
        <w:tc>
          <w:tcPr>
            <w:tcW w:type="dxa" w:w="3013"/>
            <w:tcMar>
              <w:top w:type="dxa" w:w="80"/>
              <w:left w:type="dxa" w:w="120"/>
              <w:bottom w:type="dxa" w:w="80"/>
              <w:right w:type="dxa" w:w="120"/>
            </w:tcMar>
          </w:tcPr>
          <w:p>
            <w:r>
              <w:rPr>
                <w:b w:val="false"/>
                <w:bCs w:val="false"/>
              </w:rPr>
              <w:t xml:space="preserve">8:00am – 5:00pm</w:t>
            </w:r>
          </w:p>
        </w:tc>
        <w:tc>
          <w:tcPr>
            <w:tcW w:type="dxa" w:w="4013"/>
            <w:tcMar>
              <w:top w:type="dxa" w:w="80"/>
              <w:left w:type="dxa" w:w="120"/>
              <w:bottom w:type="dxa" w:w="80"/>
              <w:right w:type="dxa" w:w="120"/>
            </w:tcMar>
          </w:tcPr>
          <w:p>
            <w:r>
              <w:rPr>
                <w:b w:val="false"/>
                <w:bCs w:val="false"/>
              </w:rPr>
              <w:t xml:space="preserve">Quieter start, AUD and NZD pairs active</w:t>
            </w:r>
          </w:p>
        </w:tc>
      </w:tr>
      <w:tr>
        <w:tc>
          <w:tcPr>
            <w:tcW w:type="dxa" w:w="2000"/>
            <w:shd w:fill="EEF3F8" w:color="auto" w:val="clear"/>
            <w:tcMar>
              <w:top w:type="dxa" w:w="80"/>
              <w:left w:type="dxa" w:w="120"/>
              <w:bottom w:type="dxa" w:w="80"/>
              <w:right w:type="dxa" w:w="120"/>
            </w:tcMar>
          </w:tcPr>
          <w:p>
            <w:r>
              <w:rPr>
                <w:b w:val="false"/>
                <w:bCs w:val="false"/>
              </w:rPr>
              <w:t xml:space="preserve">Tokyo</w:t>
            </w:r>
          </w:p>
        </w:tc>
        <w:tc>
          <w:tcPr>
            <w:tcW w:type="dxa" w:w="3013"/>
            <w:shd w:fill="EEF3F8" w:color="auto" w:val="clear"/>
            <w:tcMar>
              <w:top w:type="dxa" w:w="80"/>
              <w:left w:type="dxa" w:w="120"/>
              <w:bottom w:type="dxa" w:w="80"/>
              <w:right w:type="dxa" w:w="120"/>
            </w:tcMar>
          </w:tcPr>
          <w:p>
            <w:r>
              <w:rPr>
                <w:b w:val="false"/>
                <w:bCs w:val="false"/>
              </w:rPr>
              <w:t xml:space="preserve">10:00am – 7:00pm</w:t>
            </w:r>
          </w:p>
        </w:tc>
        <w:tc>
          <w:tcPr>
            <w:tcW w:type="dxa" w:w="4013"/>
            <w:shd w:fill="EEF3F8" w:color="auto" w:val="clear"/>
            <w:tcMar>
              <w:top w:type="dxa" w:w="80"/>
              <w:left w:type="dxa" w:w="120"/>
              <w:bottom w:type="dxa" w:w="80"/>
              <w:right w:type="dxa" w:w="120"/>
            </w:tcMar>
          </w:tcPr>
          <w:p>
            <w:r>
              <w:rPr>
                <w:b w:val="false"/>
                <w:bCs w:val="false"/>
              </w:rPr>
              <w:t xml:space="preserve">JPY pairs active, overlaps with Sydney</w:t>
            </w:r>
          </w:p>
        </w:tc>
      </w:tr>
      <w:tr>
        <w:tc>
          <w:tcPr>
            <w:tcW w:type="dxa" w:w="2000"/>
            <w:tcMar>
              <w:top w:type="dxa" w:w="80"/>
              <w:left w:type="dxa" w:w="120"/>
              <w:bottom w:type="dxa" w:w="80"/>
              <w:right w:type="dxa" w:w="120"/>
            </w:tcMar>
          </w:tcPr>
          <w:p>
            <w:r>
              <w:rPr>
                <w:b w:val="false"/>
                <w:bCs w:val="false"/>
              </w:rPr>
              <w:t xml:space="preserve">London</w:t>
            </w:r>
          </w:p>
        </w:tc>
        <w:tc>
          <w:tcPr>
            <w:tcW w:type="dxa" w:w="3013"/>
            <w:tcMar>
              <w:top w:type="dxa" w:w="80"/>
              <w:left w:type="dxa" w:w="120"/>
              <w:bottom w:type="dxa" w:w="80"/>
              <w:right w:type="dxa" w:w="120"/>
            </w:tcMar>
          </w:tcPr>
          <w:p>
            <w:r>
              <w:rPr>
                <w:b w:val="false"/>
                <w:bCs w:val="false"/>
              </w:rPr>
              <w:t xml:space="preserve">6:00pm – 3:00am</w:t>
            </w:r>
          </w:p>
        </w:tc>
        <w:tc>
          <w:tcPr>
            <w:tcW w:type="dxa" w:w="4013"/>
            <w:tcMar>
              <w:top w:type="dxa" w:w="80"/>
              <w:left w:type="dxa" w:w="120"/>
              <w:bottom w:type="dxa" w:w="80"/>
              <w:right w:type="dxa" w:w="120"/>
            </w:tcMar>
          </w:tcPr>
          <w:p>
            <w:r>
              <w:rPr>
                <w:b w:val="false"/>
                <w:bCs w:val="false"/>
              </w:rPr>
              <w:t xml:space="preserve">Highest volatility of the day</w:t>
            </w:r>
          </w:p>
        </w:tc>
      </w:tr>
      <w:tr>
        <w:tc>
          <w:tcPr>
            <w:tcW w:type="dxa" w:w="2000"/>
            <w:shd w:fill="EEF3F8" w:color="auto" w:val="clear"/>
            <w:tcMar>
              <w:top w:type="dxa" w:w="80"/>
              <w:left w:type="dxa" w:w="120"/>
              <w:bottom w:type="dxa" w:w="80"/>
              <w:right w:type="dxa" w:w="120"/>
            </w:tcMar>
          </w:tcPr>
          <w:p>
            <w:r>
              <w:rPr>
                <w:b w:val="false"/>
                <w:bCs w:val="false"/>
              </w:rPr>
              <w:t xml:space="preserve">New York</w:t>
            </w:r>
          </w:p>
        </w:tc>
        <w:tc>
          <w:tcPr>
            <w:tcW w:type="dxa" w:w="3013"/>
            <w:shd w:fill="EEF3F8" w:color="auto" w:val="clear"/>
            <w:tcMar>
              <w:top w:type="dxa" w:w="80"/>
              <w:left w:type="dxa" w:w="120"/>
              <w:bottom w:type="dxa" w:w="80"/>
              <w:right w:type="dxa" w:w="120"/>
            </w:tcMar>
          </w:tcPr>
          <w:p>
            <w:r>
              <w:rPr>
                <w:b w:val="false"/>
                <w:bCs w:val="false"/>
              </w:rPr>
              <w:t xml:space="preserve">11:00pm – 8:00am</w:t>
            </w:r>
          </w:p>
        </w:tc>
        <w:tc>
          <w:tcPr>
            <w:tcW w:type="dxa" w:w="4013"/>
            <w:shd w:fill="EEF3F8" w:color="auto" w:val="clear"/>
            <w:tcMar>
              <w:top w:type="dxa" w:w="80"/>
              <w:left w:type="dxa" w:w="120"/>
              <w:bottom w:type="dxa" w:w="80"/>
              <w:right w:type="dxa" w:w="120"/>
            </w:tcMar>
          </w:tcPr>
          <w:p>
            <w:r>
              <w:rPr>
                <w:b w:val="false"/>
                <w:bCs w:val="false"/>
              </w:rPr>
              <w:t xml:space="preserve">Big US data releases, USD pairs move</w:t>
            </w:r>
          </w:p>
        </w:tc>
      </w:tr>
    </w:tbl>
    <w:p>
      <w:pPr>
        <w:spacing w:after="120"/>
      </w:pPr>
      <w:r>
        <w:rPr>
          <w:b/>
          <w:bCs/>
        </w:rPr>
        <w:t xml:space="preserve">The busiest window is 11pm to 3am AEST</w:t>
      </w:r>
      <w:r>
        <w:t xml:space="preserve">, when London and New York overlap. That is exactly when most Australians are asleep, and when Zephgain's AI keeps working. (Times shift slightly with daylight saving.)</w:t>
      </w:r>
    </w:p>
    <w:p>
      <w:pPr>
        <w:pBdr>
          <w:bottom w:val="single" w:color="1F3A5F" w:sz="6" w:space="4"/>
        </w:pBdr>
        <w:spacing w:after="120" w:before="360"/>
      </w:pPr>
      <w:r>
        <w:rPr>
          <w:b/>
          <w:bCs/>
          <w:caps/>
          <w:color w:val="1F3A5F"/>
          <w:sz w:val="20"/>
          <w:szCs w:val="20"/>
        </w:rPr>
        <w:t xml:space="preserve">Section 5</w:t>
      </w:r>
    </w:p>
    <w:p>
      <w:pPr>
        <w:pStyle w:val="Heading2"/>
        <w:spacing w:after="120" w:before="240"/>
      </w:pPr>
      <w:r>
        <w:t xml:space="preserve">How Zephgain's AI Trades Forex</w:t>
      </w:r>
    </w:p>
    <w:p>
      <w:pPr>
        <w:pStyle w:val="ListParagraph"/>
        <w:numPr>
          <w:ilvl w:val="0"/>
          <w:numId w:val="3"/>
        </w:numPr>
        <w:spacing w:after="60"/>
      </w:pPr>
      <w:r>
        <w:rPr>
          <w:b/>
          <w:bCs/>
        </w:rPr>
        <w:t xml:space="preserve">Tracks the economic calendar:</w:t>
      </w:r>
      <w:r>
        <w:t xml:space="preserve"> RBA rate decisions, US Fed meetings, CPI and jobs reports.</w:t>
      </w:r>
    </w:p>
    <w:p>
      <w:pPr>
        <w:pStyle w:val="ListParagraph"/>
        <w:numPr>
          <w:ilvl w:val="0"/>
          <w:numId w:val="3"/>
        </w:numPr>
        <w:spacing w:after="60"/>
      </w:pPr>
      <w:r>
        <w:rPr>
          <w:b/>
          <w:bCs/>
        </w:rPr>
        <w:t xml:space="preserve">Reads price action:</w:t>
      </w:r>
      <w:r>
        <w:t xml:space="preserve"> trends, support and resistance levels across every session.</w:t>
      </w:r>
    </w:p>
    <w:p>
      <w:pPr>
        <w:pStyle w:val="ListParagraph"/>
        <w:numPr>
          <w:ilvl w:val="0"/>
          <w:numId w:val="3"/>
        </w:numPr>
        <w:spacing w:after="60"/>
      </w:pPr>
      <w:r>
        <w:rPr>
          <w:b/>
          <w:bCs/>
        </w:rPr>
        <w:t xml:space="preserve">Measures market mood:</w:t>
      </w:r>
      <w:r>
        <w:t xml:space="preserve"> news headlines and risk-on or risk-off sentiment.</w:t>
      </w:r>
    </w:p>
    <w:p>
      <w:pPr>
        <w:pStyle w:val="ListParagraph"/>
        <w:numPr>
          <w:ilvl w:val="0"/>
          <w:numId w:val="3"/>
        </w:numPr>
        <w:spacing w:after="60"/>
      </w:pPr>
      <w:r>
        <w:rPr>
          <w:b/>
          <w:bCs/>
        </w:rPr>
        <w:t xml:space="preserve">Applies your rules:</w:t>
      </w:r>
      <w:r>
        <w:t xml:space="preserve"> every trade must pass your stop-loss, take-profit and daily limits.</w:t>
      </w:r>
    </w:p>
    <w:p>
      <w:pPr>
        <w:pStyle w:val="ListParagraph"/>
        <w:numPr>
          <w:ilvl w:val="0"/>
          <w:numId w:val="3"/>
        </w:numPr>
        <w:spacing w:after="60"/>
      </w:pPr>
      <w:r>
        <w:rPr>
          <w:b/>
          <w:bCs/>
        </w:rPr>
        <w:t xml:space="preserve">Acts or alerts:</w:t>
      </w:r>
      <w:r>
        <w:t xml:space="preserve"> trades automatically in Automated mode, or sends a signal in Signal mode.</w:t>
      </w:r>
    </w:p>
    <w:p>
      <w:pPr>
        <w:spacing w:after="120"/>
      </w:pPr>
      <w:r>
        <w:t xml:space="preserve">See the full process on our How It Works page. (Internal link → /how-it-works)</w:t>
      </w:r>
    </w:p>
    <w:p>
      <w:pPr>
        <w:pBdr>
          <w:bottom w:val="single" w:color="1F3A5F" w:sz="6" w:space="4"/>
        </w:pBdr>
        <w:spacing w:after="120" w:before="360"/>
      </w:pPr>
      <w:r>
        <w:rPr>
          <w:b/>
          <w:bCs/>
          <w:caps/>
          <w:color w:val="1F3A5F"/>
          <w:sz w:val="20"/>
          <w:szCs w:val="20"/>
        </w:rPr>
        <w:t xml:space="preserve">Section 6 — Pairs</w:t>
      </w:r>
    </w:p>
    <w:p>
      <w:pPr>
        <w:pStyle w:val="Heading2"/>
        <w:spacing w:after="120" w:before="240"/>
      </w:pPr>
      <w:r>
        <w:t xml:space="preserve">Currency Pairs You Can Trade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1F3A5F" w:color="auto" w:val="clear"/>
            <w:tcMar>
              <w:top w:type="dxa" w:w="80"/>
              <w:left w:type="dxa" w:w="120"/>
              <w:bottom w:type="dxa" w:w="80"/>
              <w:right w:type="dxa" w:w="120"/>
            </w:tcMar>
          </w:tcPr>
          <w:p>
            <w:r>
              <w:rPr>
                <w:b/>
                <w:bCs/>
                <w:color w:val="FFFFFF"/>
              </w:rPr>
              <w:t xml:space="preserve">Pair</w:t>
            </w:r>
          </w:p>
        </w:tc>
        <w:tc>
          <w:tcPr>
            <w:tcW w:type="dxa" w:w="6026"/>
            <w:shd w:fill="1F3A5F" w:color="auto" w:val="clear"/>
            <w:tcMar>
              <w:top w:type="dxa" w:w="80"/>
              <w:left w:type="dxa" w:w="120"/>
              <w:bottom w:type="dxa" w:w="80"/>
              <w:right w:type="dxa" w:w="120"/>
            </w:tcMar>
          </w:tcPr>
          <w:p>
            <w:r>
              <w:rPr>
                <w:b/>
                <w:bCs/>
                <w:color w:val="FFFFFF"/>
              </w:rPr>
              <w:t xml:space="preserve">Why traders watch it</w:t>
            </w:r>
          </w:p>
        </w:tc>
      </w:tr>
      <w:tr>
        <w:tc>
          <w:tcPr>
            <w:tcW w:type="dxa" w:w="3000"/>
            <w:tcMar>
              <w:top w:type="dxa" w:w="80"/>
              <w:left w:type="dxa" w:w="120"/>
              <w:bottom w:type="dxa" w:w="80"/>
              <w:right w:type="dxa" w:w="120"/>
            </w:tcMar>
          </w:tcPr>
          <w:p>
            <w:r>
              <w:rPr>
                <w:b w:val="false"/>
                <w:bCs w:val="false"/>
              </w:rPr>
              <w:t xml:space="preserve">AUD/USD</w:t>
            </w:r>
          </w:p>
        </w:tc>
        <w:tc>
          <w:tcPr>
            <w:tcW w:type="dxa" w:w="6026"/>
            <w:tcMar>
              <w:top w:type="dxa" w:w="80"/>
              <w:left w:type="dxa" w:w="120"/>
              <w:bottom w:type="dxa" w:w="80"/>
              <w:right w:type="dxa" w:w="120"/>
            </w:tcMar>
          </w:tcPr>
          <w:p>
            <w:r>
              <w:rPr>
                <w:b w:val="false"/>
                <w:bCs w:val="false"/>
              </w:rPr>
              <w:t xml:space="preserve">Australia's most traded pair, tied to commodities and RBA policy</w:t>
            </w:r>
          </w:p>
        </w:tc>
      </w:tr>
      <w:tr>
        <w:tc>
          <w:tcPr>
            <w:tcW w:type="dxa" w:w="3000"/>
            <w:shd w:fill="EEF3F8" w:color="auto" w:val="clear"/>
            <w:tcMar>
              <w:top w:type="dxa" w:w="80"/>
              <w:left w:type="dxa" w:w="120"/>
              <w:bottom w:type="dxa" w:w="80"/>
              <w:right w:type="dxa" w:w="120"/>
            </w:tcMar>
          </w:tcPr>
          <w:p>
            <w:r>
              <w:rPr>
                <w:b w:val="false"/>
                <w:bCs w:val="false"/>
              </w:rPr>
              <w:t xml:space="preserve">EUR/USD</w:t>
            </w:r>
          </w:p>
        </w:tc>
        <w:tc>
          <w:tcPr>
            <w:tcW w:type="dxa" w:w="6026"/>
            <w:shd w:fill="EEF3F8" w:color="auto" w:val="clear"/>
            <w:tcMar>
              <w:top w:type="dxa" w:w="80"/>
              <w:left w:type="dxa" w:w="120"/>
              <w:bottom w:type="dxa" w:w="80"/>
              <w:right w:type="dxa" w:w="120"/>
            </w:tcMar>
          </w:tcPr>
          <w:p>
            <w:r>
              <w:rPr>
                <w:b w:val="false"/>
                <w:bCs w:val="false"/>
              </w:rPr>
              <w:t xml:space="preserve">The world's most traded pair, deep liquidity</w:t>
            </w:r>
          </w:p>
        </w:tc>
      </w:tr>
      <w:tr>
        <w:tc>
          <w:tcPr>
            <w:tcW w:type="dxa" w:w="3000"/>
            <w:tcMar>
              <w:top w:type="dxa" w:w="80"/>
              <w:left w:type="dxa" w:w="120"/>
              <w:bottom w:type="dxa" w:w="80"/>
              <w:right w:type="dxa" w:w="120"/>
            </w:tcMar>
          </w:tcPr>
          <w:p>
            <w:r>
              <w:rPr>
                <w:b w:val="false"/>
                <w:bCs w:val="false"/>
              </w:rPr>
              <w:t xml:space="preserve">USD/JPY</w:t>
            </w:r>
          </w:p>
        </w:tc>
        <w:tc>
          <w:tcPr>
            <w:tcW w:type="dxa" w:w="6026"/>
            <w:tcMar>
              <w:top w:type="dxa" w:w="80"/>
              <w:left w:type="dxa" w:w="120"/>
              <w:bottom w:type="dxa" w:w="80"/>
              <w:right w:type="dxa" w:w="120"/>
            </w:tcMar>
          </w:tcPr>
          <w:p>
            <w:r>
              <w:rPr>
                <w:b w:val="false"/>
                <w:bCs w:val="false"/>
              </w:rPr>
              <w:t xml:space="preserve">Moves on interest rate gaps between the US and Japan</w:t>
            </w:r>
          </w:p>
        </w:tc>
      </w:tr>
      <w:tr>
        <w:tc>
          <w:tcPr>
            <w:tcW w:type="dxa" w:w="3000"/>
            <w:shd w:fill="EEF3F8" w:color="auto" w:val="clear"/>
            <w:tcMar>
              <w:top w:type="dxa" w:w="80"/>
              <w:left w:type="dxa" w:w="120"/>
              <w:bottom w:type="dxa" w:w="80"/>
              <w:right w:type="dxa" w:w="120"/>
            </w:tcMar>
          </w:tcPr>
          <w:p>
            <w:r>
              <w:rPr>
                <w:b w:val="false"/>
                <w:bCs w:val="false"/>
              </w:rPr>
              <w:t xml:space="preserve">GBP/USD</w:t>
            </w:r>
          </w:p>
        </w:tc>
        <w:tc>
          <w:tcPr>
            <w:tcW w:type="dxa" w:w="6026"/>
            <w:shd w:fill="EEF3F8" w:color="auto" w:val="clear"/>
            <w:tcMar>
              <w:top w:type="dxa" w:w="80"/>
              <w:left w:type="dxa" w:w="120"/>
              <w:bottom w:type="dxa" w:w="80"/>
              <w:right w:type="dxa" w:w="120"/>
            </w:tcMar>
          </w:tcPr>
          <w:p>
            <w:r>
              <w:rPr>
                <w:b w:val="false"/>
                <w:bCs w:val="false"/>
              </w:rPr>
              <w:t xml:space="preserve">Volatile and active during the London session</w:t>
            </w:r>
          </w:p>
        </w:tc>
      </w:tr>
      <w:tr>
        <w:tc>
          <w:tcPr>
            <w:tcW w:type="dxa" w:w="3000"/>
            <w:tcMar>
              <w:top w:type="dxa" w:w="80"/>
              <w:left w:type="dxa" w:w="120"/>
              <w:bottom w:type="dxa" w:w="80"/>
              <w:right w:type="dxa" w:w="120"/>
            </w:tcMar>
          </w:tcPr>
          <w:p>
            <w:r>
              <w:rPr>
                <w:b w:val="false"/>
                <w:bCs w:val="false"/>
              </w:rPr>
              <w:t xml:space="preserve">NZD/USD</w:t>
            </w:r>
          </w:p>
        </w:tc>
        <w:tc>
          <w:tcPr>
            <w:tcW w:type="dxa" w:w="6026"/>
            <w:tcMar>
              <w:top w:type="dxa" w:w="80"/>
              <w:left w:type="dxa" w:w="120"/>
              <w:bottom w:type="dxa" w:w="80"/>
              <w:right w:type="dxa" w:w="120"/>
            </w:tcMar>
          </w:tcPr>
          <w:p>
            <w:r>
              <w:rPr>
                <w:b w:val="false"/>
                <w:bCs w:val="false"/>
              </w:rPr>
              <w:t xml:space="preserve">Closely linked to AUD, active in the Sydney session</w:t>
            </w:r>
          </w:p>
        </w:tc>
      </w:tr>
      <w:tr>
        <w:tc>
          <w:tcPr>
            <w:tcW w:type="dxa" w:w="3000"/>
            <w:shd w:fill="EEF3F8" w:color="auto" w:val="clear"/>
            <w:tcMar>
              <w:top w:type="dxa" w:w="80"/>
              <w:left w:type="dxa" w:w="120"/>
              <w:bottom w:type="dxa" w:w="80"/>
              <w:right w:type="dxa" w:w="120"/>
            </w:tcMar>
          </w:tcPr>
          <w:p>
            <w:r>
              <w:rPr>
                <w:b w:val="false"/>
                <w:bCs w:val="false"/>
              </w:rPr>
              <w:t xml:space="preserve">AUD/JPY</w:t>
            </w:r>
          </w:p>
        </w:tc>
        <w:tc>
          <w:tcPr>
            <w:tcW w:type="dxa" w:w="6026"/>
            <w:shd w:fill="EEF3F8" w:color="auto" w:val="clear"/>
            <w:tcMar>
              <w:top w:type="dxa" w:w="80"/>
              <w:left w:type="dxa" w:w="120"/>
              <w:bottom w:type="dxa" w:w="80"/>
              <w:right w:type="dxa" w:w="120"/>
            </w:tcMar>
          </w:tcPr>
          <w:p>
            <w:r>
              <w:rPr>
                <w:b w:val="false"/>
                <w:bCs w:val="false"/>
              </w:rPr>
              <w:t xml:space="preserve">Popular "risk mood" pair in Asian hours</w:t>
            </w:r>
          </w:p>
        </w:tc>
      </w:tr>
      <w:tr>
        <w:tc>
          <w:tcPr>
            <w:tcW w:type="dxa" w:w="3000"/>
            <w:tcMar>
              <w:top w:type="dxa" w:w="80"/>
              <w:left w:type="dxa" w:w="120"/>
              <w:bottom w:type="dxa" w:w="80"/>
              <w:right w:type="dxa" w:w="120"/>
            </w:tcMar>
          </w:tcPr>
          <w:p>
            <w:r>
              <w:rPr>
                <w:b w:val="false"/>
                <w:bCs w:val="false"/>
              </w:rPr>
              <w:t xml:space="preserve">[More pairs]</w:t>
            </w:r>
          </w:p>
        </w:tc>
        <w:tc>
          <w:tcPr>
            <w:tcW w:type="dxa" w:w="6026"/>
            <w:tcMar>
              <w:top w:type="dxa" w:w="80"/>
              <w:left w:type="dxa" w:w="120"/>
              <w:bottom w:type="dxa" w:w="80"/>
              <w:right w:type="dxa" w:w="120"/>
            </w:tcMar>
          </w:tcPr>
          <w:p>
            <w:r>
              <w:rPr>
                <w:b w:val="false"/>
                <w:bCs w:val="false"/>
              </w:rPr>
              <w:t xml:space="preserve">[Confirm full list with broker]</w:t>
            </w:r>
          </w:p>
        </w:tc>
      </w:tr>
    </w:tbl>
    <w:p>
      <w:pPr>
        <w:pBdr>
          <w:bottom w:val="single" w:color="1F3A5F" w:sz="6" w:space="4"/>
        </w:pBdr>
        <w:spacing w:after="120" w:before="360"/>
      </w:pPr>
      <w:r>
        <w:rPr>
          <w:b/>
          <w:bCs/>
          <w:caps/>
          <w:color w:val="1F3A5F"/>
          <w:sz w:val="20"/>
          <w:szCs w:val="20"/>
        </w:rPr>
        <w:t xml:space="preserve">Section 7 — Strategies</w:t>
      </w:r>
    </w:p>
    <w:p>
      <w:pPr>
        <w:pStyle w:val="Heading2"/>
        <w:spacing w:after="120" w:before="240"/>
      </w:pPr>
      <w:r>
        <w:t xml:space="preserve">Forex Strategies the AI Uses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13"/>
        <w:gridCol w:w="2813"/>
      </w:tblGrid>
      <w:tr>
        <w:tc>
          <w:tcPr>
            <w:tcW w:type="dxa" w:w="2600"/>
            <w:shd w:fill="1F3A5F" w:color="auto" w:val="clear"/>
            <w:tcMar>
              <w:top w:type="dxa" w:w="80"/>
              <w:left w:type="dxa" w:w="120"/>
              <w:bottom w:type="dxa" w:w="80"/>
              <w:right w:type="dxa" w:w="120"/>
            </w:tcMar>
          </w:tcPr>
          <w:p>
            <w:r>
              <w:rPr>
                <w:b/>
                <w:bCs/>
                <w:color w:val="FFFFFF"/>
              </w:rPr>
              <w:t xml:space="preserve">Strategy</w:t>
            </w:r>
          </w:p>
        </w:tc>
        <w:tc>
          <w:tcPr>
            <w:tcW w:type="dxa" w:w="3613"/>
            <w:shd w:fill="1F3A5F" w:color="auto" w:val="clear"/>
            <w:tcMar>
              <w:top w:type="dxa" w:w="80"/>
              <w:left w:type="dxa" w:w="120"/>
              <w:bottom w:type="dxa" w:w="80"/>
              <w:right w:type="dxa" w:w="120"/>
            </w:tcMar>
          </w:tcPr>
          <w:p>
            <w:r>
              <w:rPr>
                <w:b/>
                <w:bCs/>
                <w:color w:val="FFFFFF"/>
              </w:rPr>
              <w:t xml:space="preserve">What it does</w:t>
            </w:r>
          </w:p>
        </w:tc>
        <w:tc>
          <w:tcPr>
            <w:tcW w:type="dxa" w:w="2813"/>
            <w:shd w:fill="1F3A5F" w:color="auto" w:val="clear"/>
            <w:tcMar>
              <w:top w:type="dxa" w:w="80"/>
              <w:left w:type="dxa" w:w="120"/>
              <w:bottom w:type="dxa" w:w="80"/>
              <w:right w:type="dxa" w:w="120"/>
            </w:tcMar>
          </w:tcPr>
          <w:p>
            <w:r>
              <w:rPr>
                <w:b/>
                <w:bCs/>
                <w:color w:val="FFFFFF"/>
              </w:rPr>
              <w:t xml:space="preserve">Best for</w:t>
            </w:r>
          </w:p>
        </w:tc>
      </w:tr>
      <w:tr>
        <w:tc>
          <w:tcPr>
            <w:tcW w:type="dxa" w:w="2600"/>
            <w:tcMar>
              <w:top w:type="dxa" w:w="80"/>
              <w:left w:type="dxa" w:w="120"/>
              <w:bottom w:type="dxa" w:w="80"/>
              <w:right w:type="dxa" w:w="120"/>
            </w:tcMar>
          </w:tcPr>
          <w:p>
            <w:r>
              <w:rPr>
                <w:b w:val="false"/>
                <w:bCs w:val="false"/>
              </w:rPr>
              <w:t xml:space="preserve">Trend following</w:t>
            </w:r>
          </w:p>
        </w:tc>
        <w:tc>
          <w:tcPr>
            <w:tcW w:type="dxa" w:w="3613"/>
            <w:tcMar>
              <w:top w:type="dxa" w:w="80"/>
              <w:left w:type="dxa" w:w="120"/>
              <w:bottom w:type="dxa" w:w="80"/>
              <w:right w:type="dxa" w:w="120"/>
            </w:tcMar>
          </w:tcPr>
          <w:p>
            <w:r>
              <w:rPr>
                <w:b w:val="false"/>
                <w:bCs w:val="false"/>
              </w:rPr>
              <w:t xml:space="preserve">Rides strong moves in one direction</w:t>
            </w:r>
          </w:p>
        </w:tc>
        <w:tc>
          <w:tcPr>
            <w:tcW w:type="dxa" w:w="2813"/>
            <w:tcMar>
              <w:top w:type="dxa" w:w="80"/>
              <w:left w:type="dxa" w:w="120"/>
              <w:bottom w:type="dxa" w:w="80"/>
              <w:right w:type="dxa" w:w="120"/>
            </w:tcMar>
          </w:tcPr>
          <w:p>
            <w:r>
              <w:rPr>
                <w:b w:val="false"/>
                <w:bCs w:val="false"/>
              </w:rPr>
              <w:t xml:space="preserve">Clear, steady trends</w:t>
            </w:r>
          </w:p>
        </w:tc>
      </w:tr>
      <w:tr>
        <w:tc>
          <w:tcPr>
            <w:tcW w:type="dxa" w:w="2600"/>
            <w:shd w:fill="EEF3F8" w:color="auto" w:val="clear"/>
            <w:tcMar>
              <w:top w:type="dxa" w:w="80"/>
              <w:left w:type="dxa" w:w="120"/>
              <w:bottom w:type="dxa" w:w="80"/>
              <w:right w:type="dxa" w:w="120"/>
            </w:tcMar>
          </w:tcPr>
          <w:p>
            <w:r>
              <w:rPr>
                <w:b w:val="false"/>
                <w:bCs w:val="false"/>
              </w:rPr>
              <w:t xml:space="preserve">Breakout</w:t>
            </w:r>
          </w:p>
        </w:tc>
        <w:tc>
          <w:tcPr>
            <w:tcW w:type="dxa" w:w="3613"/>
            <w:shd w:fill="EEF3F8" w:color="auto" w:val="clear"/>
            <w:tcMar>
              <w:top w:type="dxa" w:w="80"/>
              <w:left w:type="dxa" w:w="120"/>
              <w:bottom w:type="dxa" w:w="80"/>
              <w:right w:type="dxa" w:w="120"/>
            </w:tcMar>
          </w:tcPr>
          <w:p>
            <w:r>
              <w:rPr>
                <w:b w:val="false"/>
                <w:bCs w:val="false"/>
              </w:rPr>
              <w:t xml:space="preserve">Enters when price breaks a key level</w:t>
            </w:r>
          </w:p>
        </w:tc>
        <w:tc>
          <w:tcPr>
            <w:tcW w:type="dxa" w:w="2813"/>
            <w:shd w:fill="EEF3F8" w:color="auto" w:val="clear"/>
            <w:tcMar>
              <w:top w:type="dxa" w:w="80"/>
              <w:left w:type="dxa" w:w="120"/>
              <w:bottom w:type="dxa" w:w="80"/>
              <w:right w:type="dxa" w:w="120"/>
            </w:tcMar>
          </w:tcPr>
          <w:p>
            <w:r>
              <w:rPr>
                <w:b w:val="false"/>
                <w:bCs w:val="false"/>
              </w:rPr>
              <w:t xml:space="preserve">Session opens, big news</w:t>
            </w:r>
          </w:p>
        </w:tc>
      </w:tr>
      <w:tr>
        <w:tc>
          <w:tcPr>
            <w:tcW w:type="dxa" w:w="2600"/>
            <w:tcMar>
              <w:top w:type="dxa" w:w="80"/>
              <w:left w:type="dxa" w:w="120"/>
              <w:bottom w:type="dxa" w:w="80"/>
              <w:right w:type="dxa" w:w="120"/>
            </w:tcMar>
          </w:tcPr>
          <w:p>
            <w:r>
              <w:rPr>
                <w:b w:val="false"/>
                <w:bCs w:val="false"/>
              </w:rPr>
              <w:t xml:space="preserve">Range trading</w:t>
            </w:r>
          </w:p>
        </w:tc>
        <w:tc>
          <w:tcPr>
            <w:tcW w:type="dxa" w:w="3613"/>
            <w:tcMar>
              <w:top w:type="dxa" w:w="80"/>
              <w:left w:type="dxa" w:w="120"/>
              <w:bottom w:type="dxa" w:w="80"/>
              <w:right w:type="dxa" w:w="120"/>
            </w:tcMar>
          </w:tcPr>
          <w:p>
            <w:r>
              <w:rPr>
                <w:b w:val="false"/>
                <w:bCs w:val="false"/>
              </w:rPr>
              <w:t xml:space="preserve">Buys near support, sells near resistance</w:t>
            </w:r>
          </w:p>
        </w:tc>
        <w:tc>
          <w:tcPr>
            <w:tcW w:type="dxa" w:w="2813"/>
            <w:tcMar>
              <w:top w:type="dxa" w:w="80"/>
              <w:left w:type="dxa" w:w="120"/>
              <w:bottom w:type="dxa" w:w="80"/>
              <w:right w:type="dxa" w:w="120"/>
            </w:tcMar>
          </w:tcPr>
          <w:p>
            <w:r>
              <w:rPr>
                <w:b w:val="false"/>
                <w:bCs w:val="false"/>
              </w:rPr>
              <w:t xml:space="preserve">Quiet, sideways markets</w:t>
            </w:r>
          </w:p>
        </w:tc>
      </w:tr>
      <w:tr>
        <w:tc>
          <w:tcPr>
            <w:tcW w:type="dxa" w:w="2600"/>
            <w:shd w:fill="EEF3F8" w:color="auto" w:val="clear"/>
            <w:tcMar>
              <w:top w:type="dxa" w:w="80"/>
              <w:left w:type="dxa" w:w="120"/>
              <w:bottom w:type="dxa" w:w="80"/>
              <w:right w:type="dxa" w:w="120"/>
            </w:tcMar>
          </w:tcPr>
          <w:p>
            <w:r>
              <w:rPr>
                <w:b w:val="false"/>
                <w:bCs w:val="false"/>
              </w:rPr>
              <w:t xml:space="preserve">News / event trading</w:t>
            </w:r>
          </w:p>
        </w:tc>
        <w:tc>
          <w:tcPr>
            <w:tcW w:type="dxa" w:w="3613"/>
            <w:shd w:fill="EEF3F8" w:color="auto" w:val="clear"/>
            <w:tcMar>
              <w:top w:type="dxa" w:w="80"/>
              <w:left w:type="dxa" w:w="120"/>
              <w:bottom w:type="dxa" w:w="80"/>
              <w:right w:type="dxa" w:w="120"/>
            </w:tcMar>
          </w:tcPr>
          <w:p>
            <w:r>
              <w:rPr>
                <w:b w:val="false"/>
                <w:bCs w:val="false"/>
              </w:rPr>
              <w:t xml:space="preserve">Reacts to data like CPI or rate decisions</w:t>
            </w:r>
          </w:p>
        </w:tc>
        <w:tc>
          <w:tcPr>
            <w:tcW w:type="dxa" w:w="2813"/>
            <w:shd w:fill="EEF3F8" w:color="auto" w:val="clear"/>
            <w:tcMar>
              <w:top w:type="dxa" w:w="80"/>
              <w:left w:type="dxa" w:w="120"/>
              <w:bottom w:type="dxa" w:w="80"/>
              <w:right w:type="dxa" w:w="120"/>
            </w:tcMar>
          </w:tcPr>
          <w:p>
            <w:r>
              <w:rPr>
                <w:b w:val="false"/>
                <w:bCs w:val="false"/>
              </w:rPr>
              <w:t xml:space="preserve">High-impact news days</w:t>
            </w:r>
          </w:p>
        </w:tc>
      </w:tr>
      <w:tr>
        <w:tc>
          <w:tcPr>
            <w:tcW w:type="dxa" w:w="2600"/>
            <w:tcMar>
              <w:top w:type="dxa" w:w="80"/>
              <w:left w:type="dxa" w:w="120"/>
              <w:bottom w:type="dxa" w:w="80"/>
              <w:right w:type="dxa" w:w="120"/>
            </w:tcMar>
          </w:tcPr>
          <w:p>
            <w:r>
              <w:rPr>
                <w:b w:val="false"/>
                <w:bCs w:val="false"/>
              </w:rPr>
              <w:t xml:space="preserve">Carry analysis</w:t>
            </w:r>
          </w:p>
        </w:tc>
        <w:tc>
          <w:tcPr>
            <w:tcW w:type="dxa" w:w="3613"/>
            <w:tcMar>
              <w:top w:type="dxa" w:w="80"/>
              <w:left w:type="dxa" w:w="120"/>
              <w:bottom w:type="dxa" w:w="80"/>
              <w:right w:type="dxa" w:w="120"/>
            </w:tcMar>
          </w:tcPr>
          <w:p>
            <w:r>
              <w:rPr>
                <w:b w:val="false"/>
                <w:bCs w:val="false"/>
              </w:rPr>
              <w:t xml:space="preserve">Weighs interest rate differences between currencies</w:t>
            </w:r>
          </w:p>
        </w:tc>
        <w:tc>
          <w:tcPr>
            <w:tcW w:type="dxa" w:w="2813"/>
            <w:tcMar>
              <w:top w:type="dxa" w:w="80"/>
              <w:left w:type="dxa" w:w="120"/>
              <w:bottom w:type="dxa" w:w="80"/>
              <w:right w:type="dxa" w:w="120"/>
            </w:tcMar>
          </w:tcPr>
          <w:p>
            <w:r>
              <w:rPr>
                <w:b w:val="false"/>
                <w:bCs w:val="false"/>
              </w:rPr>
              <w:t xml:space="preserve">Longer-term positions</w:t>
            </w:r>
          </w:p>
        </w:tc>
      </w:tr>
    </w:tbl>
    <w:p>
      <w:pPr>
        <w:pBdr>
          <w:bottom w:val="single" w:color="1F3A5F" w:sz="6" w:space="4"/>
        </w:pBdr>
        <w:spacing w:after="120" w:before="360"/>
      </w:pPr>
      <w:r>
        <w:rPr>
          <w:b/>
          <w:bCs/>
          <w:caps/>
          <w:color w:val="1F3A5F"/>
          <w:sz w:val="20"/>
          <w:szCs w:val="20"/>
        </w:rPr>
        <w:t xml:space="preserve">Section 8 — ASIC Leverage (Trust)</w:t>
      </w:r>
    </w:p>
    <w:p>
      <w:pPr>
        <w:pStyle w:val="Heading2"/>
        <w:spacing w:after="120" w:before="240"/>
      </w:pPr>
      <w:r>
        <w:t xml:space="preserve">Forex Leverage in Australia: ASIC Limits Explained</w:t>
      </w:r>
    </w:p>
    <w:p>
      <w:pPr>
        <w:spacing w:after="120"/>
      </w:pPr>
      <w:r>
        <w:t xml:space="preserve">Leverage lets you control a bigger trade with a smaller deposit. It can grow profits, but it grows losses just as fast. To protect retail traders, ASIC caps leverage on CFDs: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1F3A5F" w:color="auto" w:val="clear"/>
            <w:tcMar>
              <w:top w:type="dxa" w:w="80"/>
              <w:left w:type="dxa" w:w="120"/>
              <w:bottom w:type="dxa" w:w="80"/>
              <w:right w:type="dxa" w:w="120"/>
            </w:tcMar>
          </w:tcPr>
          <w:p>
            <w:r>
              <w:rPr>
                <w:b/>
                <w:bCs/>
                <w:color w:val="FFFFFF"/>
              </w:rPr>
              <w:t xml:space="preserve">Asset</w:t>
            </w:r>
          </w:p>
        </w:tc>
        <w:tc>
          <w:tcPr>
            <w:tcW w:type="dxa" w:w="6026"/>
            <w:shd w:fill="1F3A5F" w:color="auto" w:val="clear"/>
            <w:tcMar>
              <w:top w:type="dxa" w:w="80"/>
              <w:left w:type="dxa" w:w="120"/>
              <w:bottom w:type="dxa" w:w="80"/>
              <w:right w:type="dxa" w:w="120"/>
            </w:tcMar>
          </w:tcPr>
          <w:p>
            <w:r>
              <w:rPr>
                <w:b/>
                <w:bCs/>
                <w:color w:val="FFFFFF"/>
              </w:rPr>
              <w:t xml:space="preserve">Max leverage (retail)</w:t>
            </w:r>
          </w:p>
        </w:tc>
      </w:tr>
      <w:tr>
        <w:tc>
          <w:tcPr>
            <w:tcW w:type="dxa" w:w="3000"/>
            <w:tcMar>
              <w:top w:type="dxa" w:w="80"/>
              <w:left w:type="dxa" w:w="120"/>
              <w:bottom w:type="dxa" w:w="80"/>
              <w:right w:type="dxa" w:w="120"/>
            </w:tcMar>
          </w:tcPr>
          <w:p>
            <w:r>
              <w:rPr>
                <w:b w:val="false"/>
                <w:bCs w:val="false"/>
              </w:rPr>
              <w:t xml:space="preserve">Major currency pairs</w:t>
            </w:r>
          </w:p>
        </w:tc>
        <w:tc>
          <w:tcPr>
            <w:tcW w:type="dxa" w:w="6026"/>
            <w:tcMar>
              <w:top w:type="dxa" w:w="80"/>
              <w:left w:type="dxa" w:w="120"/>
              <w:bottom w:type="dxa" w:w="80"/>
              <w:right w:type="dxa" w:w="120"/>
            </w:tcMar>
          </w:tcPr>
          <w:p>
            <w:r>
              <w:rPr>
                <w:b w:val="false"/>
                <w:bCs w:val="false"/>
              </w:rPr>
              <w:t xml:space="preserve">30:1</w:t>
            </w:r>
          </w:p>
        </w:tc>
      </w:tr>
      <w:tr>
        <w:tc>
          <w:tcPr>
            <w:tcW w:type="dxa" w:w="3000"/>
            <w:shd w:fill="EEF3F8" w:color="auto" w:val="clear"/>
            <w:tcMar>
              <w:top w:type="dxa" w:w="80"/>
              <w:left w:type="dxa" w:w="120"/>
              <w:bottom w:type="dxa" w:w="80"/>
              <w:right w:type="dxa" w:w="120"/>
            </w:tcMar>
          </w:tcPr>
          <w:p>
            <w:r>
              <w:rPr>
                <w:b w:val="false"/>
                <w:bCs w:val="false"/>
              </w:rPr>
              <w:t xml:space="preserve">Minor pairs, gold, major indices</w:t>
            </w:r>
          </w:p>
        </w:tc>
        <w:tc>
          <w:tcPr>
            <w:tcW w:type="dxa" w:w="6026"/>
            <w:shd w:fill="EEF3F8" w:color="auto" w:val="clear"/>
            <w:tcMar>
              <w:top w:type="dxa" w:w="80"/>
              <w:left w:type="dxa" w:w="120"/>
              <w:bottom w:type="dxa" w:w="80"/>
              <w:right w:type="dxa" w:w="120"/>
            </w:tcMar>
          </w:tcPr>
          <w:p>
            <w:r>
              <w:rPr>
                <w:b w:val="false"/>
                <w:bCs w:val="false"/>
              </w:rPr>
              <w:t xml:space="preserve">20:1</w:t>
            </w:r>
          </w:p>
        </w:tc>
      </w:tr>
      <w:tr>
        <w:tc>
          <w:tcPr>
            <w:tcW w:type="dxa" w:w="3000"/>
            <w:tcMar>
              <w:top w:type="dxa" w:w="80"/>
              <w:left w:type="dxa" w:w="120"/>
              <w:bottom w:type="dxa" w:w="80"/>
              <w:right w:type="dxa" w:w="120"/>
            </w:tcMar>
          </w:tcPr>
          <w:p>
            <w:r>
              <w:rPr>
                <w:b w:val="false"/>
                <w:bCs w:val="false"/>
              </w:rPr>
              <w:t xml:space="preserve">Other commodities, minor indices</w:t>
            </w:r>
          </w:p>
        </w:tc>
        <w:tc>
          <w:tcPr>
            <w:tcW w:type="dxa" w:w="6026"/>
            <w:tcMar>
              <w:top w:type="dxa" w:w="80"/>
              <w:left w:type="dxa" w:w="120"/>
              <w:bottom w:type="dxa" w:w="80"/>
              <w:right w:type="dxa" w:w="120"/>
            </w:tcMar>
          </w:tcPr>
          <w:p>
            <w:r>
              <w:rPr>
                <w:b w:val="false"/>
                <w:bCs w:val="false"/>
              </w:rPr>
              <w:t xml:space="preserve">10:1</w:t>
            </w:r>
          </w:p>
        </w:tc>
      </w:tr>
      <w:tr>
        <w:tc>
          <w:tcPr>
            <w:tcW w:type="dxa" w:w="3000"/>
            <w:shd w:fill="EEF3F8" w:color="auto" w:val="clear"/>
            <w:tcMar>
              <w:top w:type="dxa" w:w="80"/>
              <w:left w:type="dxa" w:w="120"/>
              <w:bottom w:type="dxa" w:w="80"/>
              <w:right w:type="dxa" w:w="120"/>
            </w:tcMar>
          </w:tcPr>
          <w:p>
            <w:r>
              <w:rPr>
                <w:b w:val="false"/>
                <w:bCs w:val="false"/>
              </w:rPr>
              <w:t xml:space="preserve">Shares</w:t>
            </w:r>
          </w:p>
        </w:tc>
        <w:tc>
          <w:tcPr>
            <w:tcW w:type="dxa" w:w="6026"/>
            <w:shd w:fill="EEF3F8" w:color="auto" w:val="clear"/>
            <w:tcMar>
              <w:top w:type="dxa" w:w="80"/>
              <w:left w:type="dxa" w:w="120"/>
              <w:bottom w:type="dxa" w:w="80"/>
              <w:right w:type="dxa" w:w="120"/>
            </w:tcMar>
          </w:tcPr>
          <w:p>
            <w:r>
              <w:rPr>
                <w:b w:val="false"/>
                <w:bCs w:val="false"/>
              </w:rPr>
              <w:t xml:space="preserve">5:1</w:t>
            </w:r>
          </w:p>
        </w:tc>
      </w:tr>
      <w:tr>
        <w:tc>
          <w:tcPr>
            <w:tcW w:type="dxa" w:w="3000"/>
            <w:tcMar>
              <w:top w:type="dxa" w:w="80"/>
              <w:left w:type="dxa" w:w="120"/>
              <w:bottom w:type="dxa" w:w="80"/>
              <w:right w:type="dxa" w:w="120"/>
            </w:tcMar>
          </w:tcPr>
          <w:p>
            <w:r>
              <w:rPr>
                <w:b w:val="false"/>
                <w:bCs w:val="false"/>
              </w:rPr>
              <w:t xml:space="preserve">Crypto</w:t>
            </w:r>
          </w:p>
        </w:tc>
        <w:tc>
          <w:tcPr>
            <w:tcW w:type="dxa" w:w="6026"/>
            <w:tcMar>
              <w:top w:type="dxa" w:w="80"/>
              <w:left w:type="dxa" w:w="120"/>
              <w:bottom w:type="dxa" w:w="80"/>
              <w:right w:type="dxa" w:w="120"/>
            </w:tcMar>
          </w:tcPr>
          <w:p>
            <w:r>
              <w:rPr>
                <w:b w:val="false"/>
                <w:bCs w:val="false"/>
              </w:rPr>
              <w:t xml:space="preserve">2:1</w:t>
            </w:r>
          </w:p>
        </w:tc>
      </w:tr>
    </w:tbl>
    <w:p>
      <w:pPr>
        <w:spacing w:after="120"/>
      </w:pPr>
      <w:r>
        <w:t xml:space="preserve">Retail clients of ASIC-licensed brokers also get </w:t>
      </w:r>
      <w:r>
        <w:rPr>
          <w:b/>
          <w:bCs/>
        </w:rPr>
        <w:t xml:space="preserve">negative balance protection</w:t>
      </w:r>
      <w:r>
        <w:t xml:space="preserve">, so you can't lose more than the money in your account. ASIC research shows most retail CFD clients lose money, which is why Zephgain's AI always works within strict risk limits.</w:t>
      </w:r>
    </w:p>
    <w:p>
      <w:pPr>
        <w:pBdr>
          <w:bottom w:val="single" w:color="1F3A5F" w:sz="6" w:space="4"/>
        </w:pBdr>
        <w:spacing w:after="120" w:before="360"/>
      </w:pPr>
      <w:r>
        <w:rPr>
          <w:b/>
          <w:bCs/>
          <w:caps/>
          <w:color w:val="1F3A5F"/>
          <w:sz w:val="20"/>
          <w:szCs w:val="20"/>
        </w:rPr>
        <w:t xml:space="preserve">Section 9 — Risks</w:t>
      </w:r>
    </w:p>
    <w:p>
      <w:pPr>
        <w:pStyle w:val="Heading2"/>
        <w:spacing w:after="120" w:before="240"/>
      </w:pPr>
      <w:r>
        <w:t xml:space="preserve">Risks of Trading Forex with AI (and How to Manage Them)</w:t>
      </w:r>
    </w:p>
    <w:p>
      <w:pPr>
        <w:pStyle w:val="ListParagraph"/>
        <w:numPr>
          <w:ilvl w:val="0"/>
          <w:numId w:val="2"/>
        </w:numPr>
        <w:spacing w:after="60"/>
      </w:pPr>
      <w:r>
        <w:rPr>
          <w:b/>
          <w:bCs/>
        </w:rPr>
        <w:t xml:space="preserve">Leverage risk:</w:t>
      </w:r>
      <w:r>
        <w:t xml:space="preserve"> use low leverage, especially when starting out.</w:t>
      </w:r>
    </w:p>
    <w:p>
      <w:pPr>
        <w:pStyle w:val="ListParagraph"/>
        <w:numPr>
          <w:ilvl w:val="0"/>
          <w:numId w:val="2"/>
        </w:numPr>
        <w:spacing w:after="60"/>
      </w:pPr>
      <w:r>
        <w:rPr>
          <w:b/>
          <w:bCs/>
        </w:rPr>
        <w:t xml:space="preserve">News spikes:</w:t>
      </w:r>
      <w:r>
        <w:t xml:space="preserve"> prices can jump on surprise data. Set a stop-loss on every trade.</w:t>
      </w:r>
    </w:p>
    <w:p>
      <w:pPr>
        <w:pStyle w:val="ListParagraph"/>
        <w:numPr>
          <w:ilvl w:val="0"/>
          <w:numId w:val="2"/>
        </w:numPr>
        <w:spacing w:after="60"/>
      </w:pPr>
      <w:r>
        <w:rPr>
          <w:b/>
          <w:bCs/>
        </w:rPr>
        <w:t xml:space="preserve">Weekend gaps:</w:t>
      </w:r>
      <w:r>
        <w:t xml:space="preserve"> prices can open far from Friday's close. Consider closing trades before the weekend.</w:t>
      </w:r>
    </w:p>
    <w:p>
      <w:pPr>
        <w:pStyle w:val="ListParagraph"/>
        <w:numPr>
          <w:ilvl w:val="0"/>
          <w:numId w:val="2"/>
        </w:numPr>
        <w:spacing w:after="60"/>
      </w:pPr>
      <w:r>
        <w:rPr>
          <w:b/>
          <w:bCs/>
        </w:rPr>
        <w:t xml:space="preserve">No AI is perfect:</w:t>
      </w:r>
      <w:r>
        <w:t xml:space="preserve"> past results don't guarantee future returns.</w:t>
      </w:r>
    </w:p>
    <w:p>
      <w:pPr>
        <w:pStyle w:val="ListParagraph"/>
        <w:numPr>
          <w:ilvl w:val="0"/>
          <w:numId w:val="2"/>
        </w:numPr>
        <w:spacing w:after="60"/>
      </w:pPr>
      <w:r>
        <w:rPr>
          <w:b/>
          <w:bCs/>
        </w:rPr>
        <w:t xml:space="preserve">Scams:</w:t>
      </w:r>
      <w:r>
        <w:t xml:space="preserve"> avoid any "forex robot" that promises fixed or guaranteed profits. Learn how to spot fakes in our Zephgain Review. (Internal link → /zephgain-review)</w:t>
      </w:r>
    </w:p>
    <w:p>
      <w:pPr>
        <w:pBdr>
          <w:bottom w:val="single" w:color="1F3A5F" w:sz="6" w:space="4"/>
        </w:pBdr>
        <w:spacing w:after="120" w:before="360"/>
      </w:pPr>
      <w:r>
        <w:rPr>
          <w:b/>
          <w:bCs/>
          <w:caps/>
          <w:color w:val="1F3A5F"/>
          <w:sz w:val="20"/>
          <w:szCs w:val="20"/>
        </w:rPr>
        <w:t xml:space="preserve">Section 10 — Legal</w:t>
      </w:r>
    </w:p>
    <w:p>
      <w:pPr>
        <w:pStyle w:val="Heading2"/>
        <w:spacing w:after="120" w:before="240"/>
      </w:pPr>
      <w:r>
        <w:t xml:space="preserve">Is AI Forex Trading Legal in Australia?</w:t>
      </w:r>
    </w:p>
    <w:p>
      <w:pPr>
        <w:spacing w:after="120"/>
      </w:pPr>
      <w:r>
        <w:t xml:space="preserve">Yes. Australians can legally trade forex with AI tools. Forex brokers offering CFDs to Australians must hold an Australian Financial Services Licence (AFSL) from ASIC. Zephgain's trades are placed through [broker name], AFSL [number]. Always check a broker's licence on the ASIC Professional Register before you deposit.</w:t>
      </w:r>
    </w:p>
    <w:p>
      <w:pPr>
        <w:pBdr>
          <w:bottom w:val="single" w:color="1F3A5F" w:sz="6" w:space="4"/>
        </w:pBdr>
        <w:spacing w:after="120" w:before="360"/>
      </w:pPr>
      <w:r>
        <w:rPr>
          <w:b/>
          <w:bCs/>
          <w:caps/>
          <w:color w:val="1F3A5F"/>
          <w:sz w:val="20"/>
          <w:szCs w:val="20"/>
        </w:rPr>
        <w:t xml:space="preserve">Section 11 — Final CTA</w:t>
      </w:r>
    </w:p>
    <w:p>
      <w:pPr>
        <w:pStyle w:val="Heading2"/>
        <w:spacing w:after="120" w:before="240"/>
      </w:pPr>
      <w:r>
        <w:t xml:space="preserve">Start Trading Forex with AI in 3 Steps</w:t>
      </w:r>
    </w:p>
    <w:p>
      <w:pPr>
        <w:pStyle w:val="ListParagraph"/>
        <w:numPr>
          <w:ilvl w:val="0"/>
          <w:numId w:val="3"/>
        </w:numPr>
        <w:spacing w:after="60"/>
      </w:pPr>
      <w:r>
        <w:t xml:space="preserve">Register free in 2 minutes.</w:t>
      </w:r>
    </w:p>
    <w:p>
      <w:pPr>
        <w:pStyle w:val="ListParagraph"/>
        <w:numPr>
          <w:ilvl w:val="0"/>
          <w:numId w:val="3"/>
        </w:numPr>
        <w:spacing w:after="60"/>
      </w:pPr>
      <w:r>
        <w:t xml:space="preserve">Fund your account from AU$250.</w:t>
      </w:r>
    </w:p>
    <w:p>
      <w:pPr>
        <w:pStyle w:val="ListParagraph"/>
        <w:numPr>
          <w:ilvl w:val="0"/>
          <w:numId w:val="3"/>
        </w:numPr>
        <w:spacing w:after="60"/>
      </w:pPr>
      <w:r>
        <w:t xml:space="preserve">Choose your pairs, set your limits and let the AI watch the markets for you.</w:t>
      </w:r>
    </w:p>
    <w:p>
      <w:pPr>
        <w:spacing w:after="120"/>
      </w:pPr>
      <w:r>
        <w:rPr>
          <w:b/>
          <w:bCs/>
        </w:rPr>
        <w:t xml:space="preserve">[Registration Form]</w:t>
      </w:r>
    </w:p>
    <w:p>
      <w:pPr>
        <w:spacing w:after="200" w:before="120"/>
      </w:pPr>
      <w:r>
        <w:rPr>
          <w:b/>
          <w:bCs/>
        </w:rPr>
        <w:t xml:space="preserve">CTA Button: </w:t>
      </w:r>
      <w:r>
        <w:rPr>
          <w:b/>
          <w:bCs/>
          <w:color w:val="FFFFFF"/>
          <w:shd w:fill="1F7A4D" w:color="auto" w:val="clear"/>
        </w:rPr>
        <w:t xml:space="preserve"> Create My Free Account </w:t>
      </w:r>
    </w:p>
    <w:p>
      <w:pPr>
        <w:spacing w:after="120"/>
      </w:pPr>
      <w:r>
        <w:t xml:space="preserve">Also explore: AI Crypto Trading (→ /ai-crypto-trading) | AI Gold Trading (→ /ai-gold-trading) | Why Invest with Zephgain (→ /why-invest)</w:t>
      </w:r>
    </w:p>
    <w:p>
      <w:pPr>
        <w:pBdr>
          <w:bottom w:val="single" w:color="1F3A5F" w:sz="6" w:space="4"/>
        </w:pBdr>
        <w:spacing w:after="120" w:before="360"/>
      </w:pPr>
      <w:r>
        <w:rPr>
          <w:b/>
          <w:bCs/>
          <w:caps/>
          <w:color w:val="1F3A5F"/>
          <w:sz w:val="20"/>
          <w:szCs w:val="20"/>
        </w:rPr>
        <w:t xml:space="preserve">Section 12 — FAQ</w:t>
      </w:r>
    </w:p>
    <w:p>
      <w:pPr>
        <w:pStyle w:val="Heading2"/>
        <w:spacing w:after="120" w:before="240"/>
      </w:pPr>
      <w:r>
        <w:t xml:space="preserve">Frequently Asked Questions</w:t>
      </w:r>
    </w:p>
    <w:p>
      <w:pPr>
        <w:pStyle w:val="Heading3"/>
        <w:spacing w:after="120" w:before="240"/>
      </w:pPr>
      <w:r>
        <w:t xml:space="preserve">Does AI forex trading work?</w:t>
      </w:r>
    </w:p>
    <w:p>
      <w:pPr>
        <w:spacing w:after="120"/>
      </w:pPr>
      <w:r>
        <w:t xml:space="preserve">AI can analyse more data, faster, and trade without emotion. That helps with discipline, but it can't predict every move. Losses still happen.</w:t>
      </w:r>
    </w:p>
    <w:p>
      <w:pPr>
        <w:pStyle w:val="Heading3"/>
        <w:spacing w:after="120" w:before="240"/>
      </w:pPr>
      <w:r>
        <w:t xml:space="preserve">What is the best time to trade forex in Australia?</w:t>
      </w:r>
    </w:p>
    <w:p>
      <w:pPr>
        <w:spacing w:after="120"/>
      </w:pPr>
      <w:r>
        <w:t xml:space="preserve">The London and New York overlap, roughly 11pm to 3am AEST, is usually the busiest. Zephgain's AI can trade during these hours while you sleep.</w:t>
      </w:r>
    </w:p>
    <w:p>
      <w:pPr>
        <w:pStyle w:val="Heading3"/>
        <w:spacing w:after="120" w:before="240"/>
      </w:pPr>
      <w:r>
        <w:t xml:space="preserve">How much do I need to start forex trading with Zephgain?</w:t>
      </w:r>
    </w:p>
    <w:p>
      <w:pPr>
        <w:spacing w:after="120"/>
      </w:pPr>
      <w:r>
        <w:t xml:space="preserve">The minimum deposit is AU$250.</w:t>
      </w:r>
    </w:p>
    <w:p>
      <w:pPr>
        <w:pStyle w:val="Heading3"/>
        <w:spacing w:after="120" w:before="240"/>
      </w:pPr>
      <w:r>
        <w:t xml:space="preserve">What leverage can I use in Australia?</w:t>
      </w:r>
    </w:p>
    <w:p>
      <w:pPr>
        <w:spacing w:after="120"/>
      </w:pPr>
      <w:r>
        <w:t xml:space="preserve">ASIC limits retail leverage to 30:1 on major currency pairs and 20:1 on minor pairs.</w:t>
      </w:r>
    </w:p>
    <w:p>
      <w:pPr>
        <w:pStyle w:val="Heading3"/>
        <w:spacing w:after="120" w:before="240"/>
      </w:pPr>
      <w:r>
        <w:t xml:space="preserve">Is a forex trading bot the same as AI trading?</w:t>
      </w:r>
    </w:p>
    <w:p>
      <w:pPr>
        <w:spacing w:after="120"/>
      </w:pPr>
      <w:r>
        <w:t xml:space="preserve">Not quite. Many bots follow fixed rules. AI trading uses machine learning to adapt as market conditions change.</w:t>
      </w:r>
    </w:p>
    <w:p>
      <w:pPr>
        <w:pStyle w:val="Heading3"/>
        <w:spacing w:after="120" w:before="240"/>
      </w:pPr>
      <w:r>
        <w:t xml:space="preserve">Do I pay tax on forex profits in Australia?</w:t>
      </w:r>
    </w:p>
    <w:p>
      <w:pPr>
        <w:spacing w:after="120"/>
      </w:pPr>
      <w:r>
        <w:t xml:space="preserve">Generally, yes. Forex gains may be taxed as income or capital gains depending on your situation. Speak with a registered tax agent.</w:t>
      </w:r>
    </w:p>
    <w:p>
      <w:pPr>
        <w:pBdr>
          <w:bottom w:val="single" w:color="1F3A5F" w:sz="6" w:space="4"/>
        </w:pBdr>
        <w:spacing w:after="120" w:before="360"/>
      </w:pPr>
      <w:r>
        <w:rPr>
          <w:b/>
          <w:bCs/>
          <w:caps/>
          <w:color w:val="1F3A5F"/>
          <w:sz w:val="20"/>
          <w:szCs w:val="20"/>
        </w:rPr>
        <w:t xml:space="preserve">Risk Disclosure</w:t>
      </w:r>
    </w:p>
    <w:p>
      <w:pPr>
        <w:spacing w:after="120"/>
      </w:pPr>
      <w:r>
        <w:rPr>
          <w:i/>
          <w:iCs/>
          <w:sz w:val="20"/>
          <w:szCs w:val="20"/>
        </w:rPr>
        <w:t xml:space="preserve">Forex and CFDs are complex products and come with a high risk of losing money rapidly due to leverage. Most retail clients lose money trading CFDs. You could lose some or all of your deposit. Past performance does not guarantee future results. Zephgain does not provide financial or tax advice. Please read our Disclosure and Terms before trading.</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6"/>
      <w:szCs w:val="36"/>
    </w:rPr>
  </w:style>
  <w:style w:type="paragraph" w:styleId="Heading2">
    <w:name w:val="Heading 2"/>
    <w:basedOn w:val="Normal"/>
    <w:next w:val="Normal"/>
    <w:qFormat/>
    <w:pPr>
      <w:outlineLvl w:val="1"/>
    </w:pPr>
    <w:rPr>
      <w:b/>
      <w:bCs/>
      <w:color w:val="1F3A5F"/>
      <w:sz w:val="30"/>
      <w:szCs w:val="30"/>
    </w:rPr>
  </w:style>
  <w:style w:type="paragraph" w:styleId="Heading3">
    <w:name w:val="Heading 3"/>
    <w:basedOn w:val="Normal"/>
    <w:next w:val="Normal"/>
    <w:qFormat/>
    <w:pPr>
      <w:outlineLvl w:val="2"/>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2026-10-06T11:15:28.767Z</dcterms:created>
  <dcterms:modified xsi:type="dcterms:W3CDTF">2026-10-06T11:15:28.767Z</dcterms:modified>
</cp:coreProperties>
</file>

<file path=docProps/custom.xml><?xml version="1.0" encoding="utf-8"?>
<Properties xmlns="http://schemas.openxmlformats.org/officeDocument/2006/custom-properties" xmlns:vt="http://schemas.openxmlformats.org/officeDocument/2006/docPropsVTypes"/>
</file>