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AI Gold Trading — Hub Page Content</w:t>
      </w:r>
    </w:p>
    <w:p>
      <w:pPr>
        <w:spacing w:after="120"/>
      </w:pPr>
      <w:r>
        <w:rPr>
          <w:color w:val="595959"/>
        </w:rPr>
        <w:t xml:space="preserve">URL: /ai-gold-trading | Primary: "AI gold trading" | Secondary: "gold trading Australia", "XAU/USD", "gold price AUD", "how to invest in gold Australia" | ~1,450 words | Primary keyword used 5x in body + meta</w:t>
      </w:r>
    </w:p>
    <w:p>
      <w:pPr>
        <w:spacing w:after="120"/>
      </w:pPr>
      <w:r>
        <w:rPr>
          <w:i/>
          <w:iCs/>
          <w:color w:val="7F7F7F"/>
          <w:sz w:val="20"/>
          <w:szCs w:val="20"/>
        </w:rPr>
        <w:t xml:space="preserve">Editor note: Confirm with the broker which gold/silver instruments are offered and whether short (sell) trades are allowed. Gold price figures are as of October 2026; review every quarter. Keep the ASIC leverage section only if the broker is ASIC-licensed.</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AI Gold Trading in Australia | Trade XAU/USD and XAU/AUD with Zephgain</w:t>
      </w:r>
    </w:p>
    <w:p>
      <w:pPr>
        <w:spacing w:after="120"/>
      </w:pPr>
      <w:r>
        <w:rPr>
          <w:b/>
          <w:bCs/>
        </w:rPr>
        <w:t xml:space="preserve">Meta Description:</w:t>
      </w:r>
      <w:r>
        <w:t xml:space="preserve"> Gold hit record highs in 2026, then fell 26%. Trade gold's big moves with an AI that tracks rates, the US dollar and news 24/5. Start from AU$250. Register free.</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AI Gold Trading in Australia: Trade Gold's Big Moves Smarter</w:t>
      </w:r>
    </w:p>
    <w:p>
      <w:pPr>
        <w:spacing w:after="120"/>
      </w:pPr>
      <w:r>
        <w:t xml:space="preserve">Gold has had a wild 2026. It hit a record of around US$5,595 an ounce in January, then dropped about 26% by October. Moves like that bring opportunity and risk in both directions. Zephgain's AI tracks the forces behind gold, from interest rates to the US dollar to world news, and trades inside the limits you set.</w:t>
      </w:r>
    </w:p>
    <w:p>
      <w:pPr>
        <w:pStyle w:val="ListParagraph"/>
        <w:numPr>
          <w:ilvl w:val="0"/>
          <w:numId w:val="2"/>
        </w:numPr>
        <w:spacing w:after="60"/>
      </w:pPr>
      <w:r>
        <w:t xml:space="preserve">Trade gold in USD (XAU/USD) or AUD (XAU/AUD)</w:t>
      </w:r>
    </w:p>
    <w:p>
      <w:pPr>
        <w:pStyle w:val="ListParagraph"/>
        <w:numPr>
          <w:ilvl w:val="0"/>
          <w:numId w:val="2"/>
        </w:numPr>
        <w:spacing w:after="60"/>
      </w:pPr>
      <w:r>
        <w:t xml:space="preserve">AI can look for setups when prices rise or fall [confirm short trades]</w:t>
      </w:r>
    </w:p>
    <w:p>
      <w:pPr>
        <w:pStyle w:val="ListParagraph"/>
        <w:numPr>
          <w:ilvl w:val="0"/>
          <w:numId w:val="2"/>
        </w:numPr>
        <w:spacing w:after="60"/>
      </w:pPr>
      <w:r>
        <w:t xml:space="preserve">Start from AU$250, no vault or storage needed</w:t>
      </w:r>
    </w:p>
    <w:p>
      <w:pPr>
        <w:pStyle w:val="ListParagraph"/>
        <w:numPr>
          <w:ilvl w:val="0"/>
          <w:numId w:val="2"/>
        </w:numPr>
        <w:spacing w:after="60"/>
      </w:pPr>
      <w:r>
        <w:t xml:space="preserve">Stop-loss and daily limits on every trade</w:t>
      </w:r>
    </w:p>
    <w:p>
      <w:pPr>
        <w:spacing w:after="200" w:before="120"/>
      </w:pPr>
      <w:r>
        <w:rPr>
          <w:b/>
          <w:bCs/>
        </w:rPr>
        <w:t xml:space="preserve">CTA Button: </w:t>
      </w:r>
      <w:r>
        <w:rPr>
          <w:b/>
          <w:bCs/>
          <w:color w:val="FFFFFF"/>
          <w:shd w:fill="1F7A4D" w:color="auto" w:val="clear"/>
        </w:rPr>
        <w:t xml:space="preserve"> Start Trading Gold with AI </w:t>
      </w:r>
    </w:p>
    <w:p>
      <w:pPr>
        <w:pBdr>
          <w:bottom w:val="single" w:color="1F3A5F" w:sz="6" w:space="4"/>
        </w:pBdr>
        <w:spacing w:after="120" w:before="360"/>
      </w:pPr>
      <w:r>
        <w:rPr>
          <w:b/>
          <w:bCs/>
          <w:caps/>
          <w:color w:val="1F3A5F"/>
          <w:sz w:val="20"/>
          <w:szCs w:val="20"/>
        </w:rPr>
        <w:t xml:space="preserve">Section 2 — Definition (Featured Snippet)</w:t>
      </w:r>
    </w:p>
    <w:p>
      <w:pPr>
        <w:pStyle w:val="Heading2"/>
        <w:spacing w:after="120" w:before="240"/>
      </w:pPr>
      <w:r>
        <w:t xml:space="preserve">What Is AI Gold Trading?</w:t>
      </w:r>
    </w:p>
    <w:p>
      <w:pPr>
        <w:spacing w:after="120"/>
      </w:pPr>
      <w:r>
        <w:t xml:space="preserve">AI gold trading uses artificial intelligence to analyse the gold market and place or suggest trades. The AI studies gold prices, interest rates, the US dollar, inflation data and news, then spots patterns and creates buy or sell signals. You trade price moves without buying or storing physical gold.</w:t>
      </w:r>
    </w:p>
    <w:p>
      <w:pPr>
        <w:pBdr>
          <w:bottom w:val="single" w:color="1F3A5F" w:sz="6" w:space="4"/>
        </w:pBdr>
        <w:spacing w:after="120" w:before="360"/>
      </w:pPr>
      <w:r>
        <w:rPr>
          <w:b/>
          <w:bCs/>
          <w:caps/>
          <w:color w:val="1F3A5F"/>
          <w:sz w:val="20"/>
          <w:szCs w:val="20"/>
        </w:rPr>
        <w:t xml:space="preserve">Section 3 — Why Gold Now</w:t>
      </w:r>
    </w:p>
    <w:p>
      <w:pPr>
        <w:pStyle w:val="Heading2"/>
        <w:spacing w:after="120" w:before="240"/>
      </w:pPr>
      <w:r>
        <w:t xml:space="preserve">Why Gold Is in the Spotlight</w:t>
      </w:r>
    </w:p>
    <w:p>
      <w:pPr>
        <w:pStyle w:val="ListParagraph"/>
        <w:numPr>
          <w:ilvl w:val="0"/>
          <w:numId w:val="2"/>
        </w:numPr>
        <w:spacing w:after="60"/>
      </w:pPr>
      <w:r>
        <w:rPr>
          <w:b/>
          <w:bCs/>
        </w:rPr>
        <w:t xml:space="preserve">Big price swings:</w:t>
      </w:r>
      <w:r>
        <w:t xml:space="preserve"> a record high in January 2026, then a sharp correction. Volatility creates trading opportunities.</w:t>
      </w:r>
    </w:p>
    <w:p>
      <w:pPr>
        <w:pStyle w:val="ListParagraph"/>
        <w:numPr>
          <w:ilvl w:val="0"/>
          <w:numId w:val="2"/>
        </w:numPr>
        <w:spacing w:after="60"/>
      </w:pPr>
      <w:r>
        <w:rPr>
          <w:b/>
          <w:bCs/>
        </w:rPr>
        <w:t xml:space="preserve">Central banks are buying:</w:t>
      </w:r>
      <w:r>
        <w:t xml:space="preserve"> central banks bought 289 tonnes of gold in Q2 2026, up 62% on a year earlier (World Gold Council).</w:t>
      </w:r>
    </w:p>
    <w:p>
      <w:pPr>
        <w:pStyle w:val="ListParagraph"/>
        <w:numPr>
          <w:ilvl w:val="0"/>
          <w:numId w:val="2"/>
        </w:numPr>
        <w:spacing w:after="60"/>
      </w:pPr>
      <w:r>
        <w:rPr>
          <w:b/>
          <w:bCs/>
        </w:rPr>
        <w:t xml:space="preserve">A safe-haven asset:</w:t>
      </w:r>
      <w:r>
        <w:t xml:space="preserve"> investors often turn to gold during market stress, inflation or conflict.</w:t>
      </w:r>
    </w:p>
    <w:p>
      <w:pPr>
        <w:pStyle w:val="ListParagraph"/>
        <w:numPr>
          <w:ilvl w:val="0"/>
          <w:numId w:val="2"/>
        </w:numPr>
        <w:spacing w:after="60"/>
      </w:pPr>
      <w:r>
        <w:rPr>
          <w:b/>
          <w:bCs/>
        </w:rPr>
        <w:t xml:space="preserve">An Australian story:</w:t>
      </w:r>
      <w:r>
        <w:t xml:space="preserve"> Australia was the world's third-largest gold producer in 2025, at 293 tonnes, and holds the largest known gold reserves.</w:t>
      </w:r>
    </w:p>
    <w:p>
      <w:pPr>
        <w:pBdr>
          <w:bottom w:val="single" w:color="1F3A5F" w:sz="6" w:space="4"/>
        </w:pBdr>
        <w:spacing w:after="120" w:before="360"/>
      </w:pPr>
      <w:r>
        <w:rPr>
          <w:b/>
          <w:bCs/>
          <w:caps/>
          <w:color w:val="1F3A5F"/>
          <w:sz w:val="20"/>
          <w:szCs w:val="20"/>
        </w:rPr>
        <w:t xml:space="preserve">Section 4 — Price Drivers Table</w:t>
      </w:r>
    </w:p>
    <w:p>
      <w:pPr>
        <w:pStyle w:val="Heading2"/>
        <w:spacing w:after="120" w:before="240"/>
      </w:pPr>
      <w:r>
        <w:t xml:space="preserve">What Moves the Gold Price?</w:t>
      </w:r>
    </w:p>
    <w:p>
      <w:pPr>
        <w:spacing w:after="120"/>
      </w:pPr>
      <w:r>
        <w:t xml:space="preserve">Gold reacts to several forces at once. That is hard for a person to track, but easy for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Driver</w:t>
            </w:r>
          </w:p>
        </w:tc>
        <w:tc>
          <w:tcPr>
            <w:tcW w:type="dxa" w:w="6026"/>
            <w:shd w:fill="1F3A5F" w:color="auto" w:val="clear"/>
            <w:tcMar>
              <w:top w:type="dxa" w:w="80"/>
              <w:left w:type="dxa" w:w="120"/>
              <w:bottom w:type="dxa" w:w="80"/>
              <w:right w:type="dxa" w:w="120"/>
            </w:tcMar>
          </w:tcPr>
          <w:p>
            <w:r>
              <w:rPr>
                <w:b/>
                <w:bCs/>
                <w:color w:val="FFFFFF"/>
              </w:rPr>
              <w:t xml:space="preserve">Typical effect on gold</w:t>
            </w:r>
          </w:p>
        </w:tc>
      </w:tr>
      <w:tr>
        <w:tc>
          <w:tcPr>
            <w:tcW w:type="dxa" w:w="3000"/>
            <w:tcMar>
              <w:top w:type="dxa" w:w="80"/>
              <w:left w:type="dxa" w:w="120"/>
              <w:bottom w:type="dxa" w:w="80"/>
              <w:right w:type="dxa" w:w="120"/>
            </w:tcMar>
          </w:tcPr>
          <w:p>
            <w:r>
              <w:rPr>
                <w:b w:val="false"/>
                <w:bCs w:val="false"/>
              </w:rPr>
              <w:t xml:space="preserve">US interest rates</w:t>
            </w:r>
          </w:p>
        </w:tc>
        <w:tc>
          <w:tcPr>
            <w:tcW w:type="dxa" w:w="6026"/>
            <w:tcMar>
              <w:top w:type="dxa" w:w="80"/>
              <w:left w:type="dxa" w:w="120"/>
              <w:bottom w:type="dxa" w:w="80"/>
              <w:right w:type="dxa" w:w="120"/>
            </w:tcMar>
          </w:tcPr>
          <w:p>
            <w:r>
              <w:rPr>
                <w:b w:val="false"/>
                <w:bCs w:val="false"/>
              </w:rPr>
              <w:t xml:space="preserve">Higher rates often pressure gold; rate cuts can lift it</w:t>
            </w:r>
          </w:p>
        </w:tc>
      </w:tr>
      <w:tr>
        <w:tc>
          <w:tcPr>
            <w:tcW w:type="dxa" w:w="3000"/>
            <w:shd w:fill="EEF3F8" w:color="auto" w:val="clear"/>
            <w:tcMar>
              <w:top w:type="dxa" w:w="80"/>
              <w:left w:type="dxa" w:w="120"/>
              <w:bottom w:type="dxa" w:w="80"/>
              <w:right w:type="dxa" w:w="120"/>
            </w:tcMar>
          </w:tcPr>
          <w:p>
            <w:r>
              <w:rPr>
                <w:b w:val="false"/>
                <w:bCs w:val="false"/>
              </w:rPr>
              <w:t xml:space="preserve">US dollar</w:t>
            </w:r>
          </w:p>
        </w:tc>
        <w:tc>
          <w:tcPr>
            <w:tcW w:type="dxa" w:w="6026"/>
            <w:shd w:fill="EEF3F8" w:color="auto" w:val="clear"/>
            <w:tcMar>
              <w:top w:type="dxa" w:w="80"/>
              <w:left w:type="dxa" w:w="120"/>
              <w:bottom w:type="dxa" w:w="80"/>
              <w:right w:type="dxa" w:w="120"/>
            </w:tcMar>
          </w:tcPr>
          <w:p>
            <w:r>
              <w:rPr>
                <w:b w:val="false"/>
                <w:bCs w:val="false"/>
              </w:rPr>
              <w:t xml:space="preserve">A stronger USD usually weighs on gold prices</w:t>
            </w:r>
          </w:p>
        </w:tc>
      </w:tr>
      <w:tr>
        <w:tc>
          <w:tcPr>
            <w:tcW w:type="dxa" w:w="3000"/>
            <w:tcMar>
              <w:top w:type="dxa" w:w="80"/>
              <w:left w:type="dxa" w:w="120"/>
              <w:bottom w:type="dxa" w:w="80"/>
              <w:right w:type="dxa" w:w="120"/>
            </w:tcMar>
          </w:tcPr>
          <w:p>
            <w:r>
              <w:rPr>
                <w:b w:val="false"/>
                <w:bCs w:val="false"/>
              </w:rPr>
              <w:t xml:space="preserve">Inflation</w:t>
            </w:r>
          </w:p>
        </w:tc>
        <w:tc>
          <w:tcPr>
            <w:tcW w:type="dxa" w:w="6026"/>
            <w:tcMar>
              <w:top w:type="dxa" w:w="80"/>
              <w:left w:type="dxa" w:w="120"/>
              <w:bottom w:type="dxa" w:w="80"/>
              <w:right w:type="dxa" w:w="120"/>
            </w:tcMar>
          </w:tcPr>
          <w:p>
            <w:r>
              <w:rPr>
                <w:b w:val="false"/>
                <w:bCs w:val="false"/>
              </w:rPr>
              <w:t xml:space="preserve">High inflation tends to support gold demand</w:t>
            </w:r>
          </w:p>
        </w:tc>
      </w:tr>
      <w:tr>
        <w:tc>
          <w:tcPr>
            <w:tcW w:type="dxa" w:w="3000"/>
            <w:shd w:fill="EEF3F8" w:color="auto" w:val="clear"/>
            <w:tcMar>
              <w:top w:type="dxa" w:w="80"/>
              <w:left w:type="dxa" w:w="120"/>
              <w:bottom w:type="dxa" w:w="80"/>
              <w:right w:type="dxa" w:w="120"/>
            </w:tcMar>
          </w:tcPr>
          <w:p>
            <w:r>
              <w:rPr>
                <w:b w:val="false"/>
                <w:bCs w:val="false"/>
              </w:rPr>
              <w:t xml:space="preserve">Geopolitical risk</w:t>
            </w:r>
          </w:p>
        </w:tc>
        <w:tc>
          <w:tcPr>
            <w:tcW w:type="dxa" w:w="6026"/>
            <w:shd w:fill="EEF3F8" w:color="auto" w:val="clear"/>
            <w:tcMar>
              <w:top w:type="dxa" w:w="80"/>
              <w:left w:type="dxa" w:w="120"/>
              <w:bottom w:type="dxa" w:w="80"/>
              <w:right w:type="dxa" w:w="120"/>
            </w:tcMar>
          </w:tcPr>
          <w:p>
            <w:r>
              <w:rPr>
                <w:b w:val="false"/>
                <w:bCs w:val="false"/>
              </w:rPr>
              <w:t xml:space="preserve">Wars and crises often push investors toward gold</w:t>
            </w:r>
          </w:p>
        </w:tc>
      </w:tr>
      <w:tr>
        <w:tc>
          <w:tcPr>
            <w:tcW w:type="dxa" w:w="3000"/>
            <w:tcMar>
              <w:top w:type="dxa" w:w="80"/>
              <w:left w:type="dxa" w:w="120"/>
              <w:bottom w:type="dxa" w:w="80"/>
              <w:right w:type="dxa" w:w="120"/>
            </w:tcMar>
          </w:tcPr>
          <w:p>
            <w:r>
              <w:rPr>
                <w:b w:val="false"/>
                <w:bCs w:val="false"/>
              </w:rPr>
              <w:t xml:space="preserve">Central bank buying</w:t>
            </w:r>
          </w:p>
        </w:tc>
        <w:tc>
          <w:tcPr>
            <w:tcW w:type="dxa" w:w="6026"/>
            <w:tcMar>
              <w:top w:type="dxa" w:w="80"/>
              <w:left w:type="dxa" w:w="120"/>
              <w:bottom w:type="dxa" w:w="80"/>
              <w:right w:type="dxa" w:w="120"/>
            </w:tcMar>
          </w:tcPr>
          <w:p>
            <w:r>
              <w:rPr>
                <w:b w:val="false"/>
                <w:bCs w:val="false"/>
              </w:rPr>
              <w:t xml:space="preserve">Large purchases support long-term demand</w:t>
            </w:r>
          </w:p>
        </w:tc>
      </w:tr>
      <w:tr>
        <w:tc>
          <w:tcPr>
            <w:tcW w:type="dxa" w:w="3000"/>
            <w:shd w:fill="EEF3F8" w:color="auto" w:val="clear"/>
            <w:tcMar>
              <w:top w:type="dxa" w:w="80"/>
              <w:left w:type="dxa" w:w="120"/>
              <w:bottom w:type="dxa" w:w="80"/>
              <w:right w:type="dxa" w:w="120"/>
            </w:tcMar>
          </w:tcPr>
          <w:p>
            <w:r>
              <w:rPr>
                <w:b w:val="false"/>
                <w:bCs w:val="false"/>
              </w:rPr>
              <w:t xml:space="preserve">AUD/USD (for Australians)</w:t>
            </w:r>
          </w:p>
        </w:tc>
        <w:tc>
          <w:tcPr>
            <w:tcW w:type="dxa" w:w="6026"/>
            <w:shd w:fill="EEF3F8" w:color="auto" w:val="clear"/>
            <w:tcMar>
              <w:top w:type="dxa" w:w="80"/>
              <w:left w:type="dxa" w:w="120"/>
              <w:bottom w:type="dxa" w:w="80"/>
              <w:right w:type="dxa" w:w="120"/>
            </w:tcMar>
          </w:tcPr>
          <w:p>
            <w:r>
              <w:rPr>
                <w:b w:val="false"/>
                <w:bCs w:val="false"/>
              </w:rPr>
              <w:t xml:space="preserve">A weaker AUD can raise the gold price in AUD terms</w:t>
            </w:r>
          </w:p>
        </w:tc>
      </w:tr>
    </w:tbl>
    <w:p>
      <w:pPr>
        <w:pBdr>
          <w:bottom w:val="single" w:color="1F3A5F" w:sz="6" w:space="4"/>
        </w:pBdr>
        <w:spacing w:after="120" w:before="360"/>
      </w:pPr>
      <w:r>
        <w:rPr>
          <w:b/>
          <w:bCs/>
          <w:caps/>
          <w:color w:val="1F3A5F"/>
          <w:sz w:val="20"/>
          <w:szCs w:val="20"/>
        </w:rPr>
        <w:t xml:space="preserve">Section 5</w:t>
      </w:r>
    </w:p>
    <w:p>
      <w:pPr>
        <w:pStyle w:val="Heading2"/>
        <w:spacing w:after="120" w:before="240"/>
      </w:pPr>
      <w:r>
        <w:t xml:space="preserve">How Zephgain's AI Trades Gold</w:t>
      </w:r>
    </w:p>
    <w:p>
      <w:pPr>
        <w:pStyle w:val="ListParagraph"/>
        <w:numPr>
          <w:ilvl w:val="0"/>
          <w:numId w:val="3"/>
        </w:numPr>
        <w:spacing w:after="60"/>
      </w:pPr>
      <w:r>
        <w:rPr>
          <w:b/>
          <w:bCs/>
        </w:rPr>
        <w:t xml:space="preserve">Tracks key data:</w:t>
      </w:r>
      <w:r>
        <w:t xml:space="preserve"> US Fed decisions, inflation reports, jobs data and the US dollar index.</w:t>
      </w:r>
    </w:p>
    <w:p>
      <w:pPr>
        <w:pStyle w:val="ListParagraph"/>
        <w:numPr>
          <w:ilvl w:val="0"/>
          <w:numId w:val="3"/>
        </w:numPr>
        <w:spacing w:after="60"/>
      </w:pPr>
      <w:r>
        <w:rPr>
          <w:b/>
          <w:bCs/>
        </w:rPr>
        <w:t xml:space="preserve">Reads the chart:</w:t>
      </w:r>
      <w:r>
        <w:t xml:space="preserve"> trends, support and resistance, and momentum across timeframes.</w:t>
      </w:r>
    </w:p>
    <w:p>
      <w:pPr>
        <w:pStyle w:val="ListParagraph"/>
        <w:numPr>
          <w:ilvl w:val="0"/>
          <w:numId w:val="3"/>
        </w:numPr>
        <w:spacing w:after="60"/>
      </w:pPr>
      <w:r>
        <w:rPr>
          <w:b/>
          <w:bCs/>
        </w:rPr>
        <w:t xml:space="preserve">Watches the news:</w:t>
      </w:r>
      <w:r>
        <w:t xml:space="preserve"> geopolitical events and market mood (risk-on or risk-off).</w:t>
      </w:r>
    </w:p>
    <w:p>
      <w:pPr>
        <w:pStyle w:val="ListParagraph"/>
        <w:numPr>
          <w:ilvl w:val="0"/>
          <w:numId w:val="3"/>
        </w:numPr>
        <w:spacing w:after="60"/>
      </w:pPr>
      <w:r>
        <w:rPr>
          <w:b/>
          <w:bCs/>
        </w:rPr>
        <w:t xml:space="preserve">Applies your rules:</w:t>
      </w:r>
      <w:r>
        <w:t xml:space="preserve"> every trade must pass your stop-loss, take-profit and daily limits.</w:t>
      </w:r>
    </w:p>
    <w:p>
      <w:pPr>
        <w:pStyle w:val="ListParagraph"/>
        <w:numPr>
          <w:ilvl w:val="0"/>
          <w:numId w:val="3"/>
        </w:numPr>
        <w:spacing w:after="60"/>
      </w:pPr>
      <w:r>
        <w:rPr>
          <w:b/>
          <w:bCs/>
        </w:rPr>
        <w:t xml:space="preserve">Acts or alerts:</w:t>
      </w:r>
      <w:r>
        <w:t xml:space="preserve"> trades automatically in Automated mode, or sends a signal in Signal mode.</w:t>
      </w:r>
    </w:p>
    <w:p>
      <w:pPr>
        <w:spacing w:after="120"/>
      </w:pPr>
      <w:r>
        <w:t xml:space="preserve">See the full process on our How It Works page. (Internal link → /how-it-works)</w:t>
      </w:r>
    </w:p>
    <w:p>
      <w:pPr>
        <w:pBdr>
          <w:bottom w:val="single" w:color="1F3A5F" w:sz="6" w:space="4"/>
        </w:pBdr>
        <w:spacing w:after="120" w:before="360"/>
      </w:pPr>
      <w:r>
        <w:rPr>
          <w:b/>
          <w:bCs/>
          <w:caps/>
          <w:color w:val="1F3A5F"/>
          <w:sz w:val="20"/>
          <w:szCs w:val="20"/>
        </w:rPr>
        <w:t xml:space="preserve">Section 6 — Instruments</w:t>
      </w:r>
    </w:p>
    <w:p>
      <w:pPr>
        <w:pStyle w:val="Heading2"/>
        <w:spacing w:after="120" w:before="240"/>
      </w:pPr>
      <w:r>
        <w:t xml:space="preserve">Gold Markets You Can Trade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Instrument</w:t>
            </w:r>
          </w:p>
        </w:tc>
        <w:tc>
          <w:tcPr>
            <w:tcW w:type="dxa" w:w="6026"/>
            <w:shd w:fill="1F3A5F" w:color="auto" w:val="clear"/>
            <w:tcMar>
              <w:top w:type="dxa" w:w="80"/>
              <w:left w:type="dxa" w:w="120"/>
              <w:bottom w:type="dxa" w:w="80"/>
              <w:right w:type="dxa" w:w="120"/>
            </w:tcMar>
          </w:tcPr>
          <w:p>
            <w:r>
              <w:rPr>
                <w:b/>
                <w:bCs/>
                <w:color w:val="FFFFFF"/>
              </w:rPr>
              <w:t xml:space="preserve">What it means</w:t>
            </w:r>
          </w:p>
        </w:tc>
      </w:tr>
      <w:tr>
        <w:tc>
          <w:tcPr>
            <w:tcW w:type="dxa" w:w="3000"/>
            <w:tcMar>
              <w:top w:type="dxa" w:w="80"/>
              <w:left w:type="dxa" w:w="120"/>
              <w:bottom w:type="dxa" w:w="80"/>
              <w:right w:type="dxa" w:w="120"/>
            </w:tcMar>
          </w:tcPr>
          <w:p>
            <w:r>
              <w:rPr>
                <w:b w:val="false"/>
                <w:bCs w:val="false"/>
              </w:rPr>
              <w:t xml:space="preserve">XAU/USD</w:t>
            </w:r>
          </w:p>
        </w:tc>
        <w:tc>
          <w:tcPr>
            <w:tcW w:type="dxa" w:w="6026"/>
            <w:tcMar>
              <w:top w:type="dxa" w:w="80"/>
              <w:left w:type="dxa" w:w="120"/>
              <w:bottom w:type="dxa" w:w="80"/>
              <w:right w:type="dxa" w:w="120"/>
            </w:tcMar>
          </w:tcPr>
          <w:p>
            <w:r>
              <w:rPr>
                <w:b w:val="false"/>
                <w:bCs w:val="false"/>
              </w:rPr>
              <w:t xml:space="preserve">Gold priced in US dollars, the global benchmark</w:t>
            </w:r>
          </w:p>
        </w:tc>
      </w:tr>
      <w:tr>
        <w:tc>
          <w:tcPr>
            <w:tcW w:type="dxa" w:w="3000"/>
            <w:shd w:fill="EEF3F8" w:color="auto" w:val="clear"/>
            <w:tcMar>
              <w:top w:type="dxa" w:w="80"/>
              <w:left w:type="dxa" w:w="120"/>
              <w:bottom w:type="dxa" w:w="80"/>
              <w:right w:type="dxa" w:w="120"/>
            </w:tcMar>
          </w:tcPr>
          <w:p>
            <w:r>
              <w:rPr>
                <w:b w:val="false"/>
                <w:bCs w:val="false"/>
              </w:rPr>
              <w:t xml:space="preserve">XAU/AUD</w:t>
            </w:r>
          </w:p>
        </w:tc>
        <w:tc>
          <w:tcPr>
            <w:tcW w:type="dxa" w:w="6026"/>
            <w:shd w:fill="EEF3F8" w:color="auto" w:val="clear"/>
            <w:tcMar>
              <w:top w:type="dxa" w:w="80"/>
              <w:left w:type="dxa" w:w="120"/>
              <w:bottom w:type="dxa" w:w="80"/>
              <w:right w:type="dxa" w:w="120"/>
            </w:tcMar>
          </w:tcPr>
          <w:p>
            <w:r>
              <w:rPr>
                <w:b w:val="false"/>
                <w:bCs w:val="false"/>
              </w:rPr>
              <w:t xml:space="preserve">Gold priced in Australian dollars</w:t>
            </w:r>
          </w:p>
        </w:tc>
      </w:tr>
      <w:tr>
        <w:tc>
          <w:tcPr>
            <w:tcW w:type="dxa" w:w="3000"/>
            <w:tcMar>
              <w:top w:type="dxa" w:w="80"/>
              <w:left w:type="dxa" w:w="120"/>
              <w:bottom w:type="dxa" w:w="80"/>
              <w:right w:type="dxa" w:w="120"/>
            </w:tcMar>
          </w:tcPr>
          <w:p>
            <w:r>
              <w:rPr>
                <w:b w:val="false"/>
                <w:bCs w:val="false"/>
              </w:rPr>
              <w:t xml:space="preserve">XAG/USD (Silver)</w:t>
            </w:r>
          </w:p>
        </w:tc>
        <w:tc>
          <w:tcPr>
            <w:tcW w:type="dxa" w:w="6026"/>
            <w:tcMar>
              <w:top w:type="dxa" w:w="80"/>
              <w:left w:type="dxa" w:w="120"/>
              <w:bottom w:type="dxa" w:w="80"/>
              <w:right w:type="dxa" w:w="120"/>
            </w:tcMar>
          </w:tcPr>
          <w:p>
            <w:r>
              <w:rPr>
                <w:b w:val="false"/>
                <w:bCs w:val="false"/>
              </w:rPr>
              <w:t xml:space="preserve">Gold's more volatile "little brother"</w:t>
            </w:r>
          </w:p>
        </w:tc>
      </w:tr>
      <w:tr>
        <w:tc>
          <w:tcPr>
            <w:tcW w:type="dxa" w:w="3000"/>
            <w:shd w:fill="EEF3F8" w:color="auto" w:val="clear"/>
            <w:tcMar>
              <w:top w:type="dxa" w:w="80"/>
              <w:left w:type="dxa" w:w="120"/>
              <w:bottom w:type="dxa" w:w="80"/>
              <w:right w:type="dxa" w:w="120"/>
            </w:tcMar>
          </w:tcPr>
          <w:p>
            <w:r>
              <w:rPr>
                <w:b w:val="false"/>
                <w:bCs w:val="false"/>
              </w:rPr>
              <w:t xml:space="preserve">[More]</w:t>
            </w:r>
          </w:p>
        </w:tc>
        <w:tc>
          <w:tcPr>
            <w:tcW w:type="dxa" w:w="6026"/>
            <w:shd w:fill="EEF3F8" w:color="auto" w:val="clear"/>
            <w:tcMar>
              <w:top w:type="dxa" w:w="80"/>
              <w:left w:type="dxa" w:w="120"/>
              <w:bottom w:type="dxa" w:w="80"/>
              <w:right w:type="dxa" w:w="120"/>
            </w:tcMar>
          </w:tcPr>
          <w:p>
            <w:r>
              <w:rPr>
                <w:b w:val="false"/>
                <w:bCs w:val="false"/>
              </w:rPr>
              <w:t xml:space="preserve">[Confirm full list with broker]</w:t>
            </w:r>
          </w:p>
        </w:tc>
      </w:tr>
    </w:tbl>
    <w:p>
      <w:pPr>
        <w:pBdr>
          <w:bottom w:val="single" w:color="1F3A5F" w:sz="6" w:space="4"/>
        </w:pBdr>
        <w:spacing w:after="120" w:before="360"/>
      </w:pPr>
      <w:r>
        <w:rPr>
          <w:b/>
          <w:bCs/>
          <w:caps/>
          <w:color w:val="1F3A5F"/>
          <w:sz w:val="20"/>
          <w:szCs w:val="20"/>
        </w:rPr>
        <w:t xml:space="preserve">Section 7 — Comparison (Snippet + Honesty)</w:t>
      </w:r>
    </w:p>
    <w:p>
      <w:pPr>
        <w:pStyle w:val="Heading2"/>
        <w:spacing w:after="120" w:before="240"/>
      </w:pPr>
      <w:r>
        <w:t xml:space="preserve">Ways to Invest in Gold in Australia: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c>
          <w:tcPr>
            <w:tcW w:type="dxa" w:w="1826"/>
            <w:shd w:fill="1F3A5F" w:color="auto" w:val="clear"/>
            <w:tcMar>
              <w:top w:type="dxa" w:w="80"/>
              <w:left w:type="dxa" w:w="120"/>
              <w:bottom w:type="dxa" w:w="80"/>
              <w:right w:type="dxa" w:w="120"/>
            </w:tcMar>
          </w:tcPr>
          <w:p>
            <w:r>
              <w:rPr>
                <w:b/>
                <w:bCs/>
                <w:color w:val="FFFFFF"/>
              </w:rPr>
              <w:t xml:space="preserve"/>
            </w:r>
          </w:p>
        </w:tc>
        <w:tc>
          <w:tcPr>
            <w:tcW w:type="dxa" w:w="1800"/>
            <w:shd w:fill="1F3A5F" w:color="auto" w:val="clear"/>
            <w:tcMar>
              <w:top w:type="dxa" w:w="80"/>
              <w:left w:type="dxa" w:w="120"/>
              <w:bottom w:type="dxa" w:w="80"/>
              <w:right w:type="dxa" w:w="120"/>
            </w:tcMar>
          </w:tcPr>
          <w:p>
            <w:r>
              <w:rPr>
                <w:b/>
                <w:bCs/>
                <w:color w:val="FFFFFF"/>
              </w:rPr>
              <w:t xml:space="preserve">Physical gold</w:t>
            </w:r>
          </w:p>
        </w:tc>
        <w:tc>
          <w:tcPr>
            <w:tcW w:type="dxa" w:w="1800"/>
            <w:shd w:fill="1F3A5F" w:color="auto" w:val="clear"/>
            <w:tcMar>
              <w:top w:type="dxa" w:w="80"/>
              <w:left w:type="dxa" w:w="120"/>
              <w:bottom w:type="dxa" w:w="80"/>
              <w:right w:type="dxa" w:w="120"/>
            </w:tcMar>
          </w:tcPr>
          <w:p>
            <w:r>
              <w:rPr>
                <w:b/>
                <w:bCs/>
                <w:color w:val="FFFFFF"/>
              </w:rPr>
              <w:t xml:space="preserve">ASX gold ETF</w:t>
            </w:r>
          </w:p>
        </w:tc>
        <w:tc>
          <w:tcPr>
            <w:tcW w:type="dxa" w:w="1800"/>
            <w:shd w:fill="1F3A5F" w:color="auto" w:val="clear"/>
            <w:tcMar>
              <w:top w:type="dxa" w:w="80"/>
              <w:left w:type="dxa" w:w="120"/>
              <w:bottom w:type="dxa" w:w="80"/>
              <w:right w:type="dxa" w:w="120"/>
            </w:tcMar>
          </w:tcPr>
          <w:p>
            <w:r>
              <w:rPr>
                <w:b/>
                <w:bCs/>
                <w:color w:val="FFFFFF"/>
              </w:rPr>
              <w:t xml:space="preserve">Gold mining shares</w:t>
            </w:r>
          </w:p>
        </w:tc>
        <w:tc>
          <w:tcPr>
            <w:tcW w:type="dxa" w:w="1800"/>
            <w:shd w:fill="1F3A5F" w:color="auto" w:val="clear"/>
            <w:tcMar>
              <w:top w:type="dxa" w:w="80"/>
              <w:left w:type="dxa" w:w="120"/>
              <w:bottom w:type="dxa" w:w="80"/>
              <w:right w:type="dxa" w:w="120"/>
            </w:tcMar>
          </w:tcPr>
          <w:p>
            <w:r>
              <w:rPr>
                <w:b/>
                <w:bCs/>
                <w:color w:val="FFFFFF"/>
              </w:rPr>
              <w:t xml:space="preserve">Trading gold with AI (CFD)</w:t>
            </w:r>
          </w:p>
        </w:tc>
      </w:tr>
      <w:tr>
        <w:tc>
          <w:tcPr>
            <w:tcW w:type="dxa" w:w="1826"/>
            <w:tcMar>
              <w:top w:type="dxa" w:w="80"/>
              <w:left w:type="dxa" w:w="120"/>
              <w:bottom w:type="dxa" w:w="80"/>
              <w:right w:type="dxa" w:w="120"/>
            </w:tcMar>
          </w:tcPr>
          <w:p>
            <w:r>
              <w:rPr>
                <w:b w:val="false"/>
                <w:bCs w:val="false"/>
              </w:rPr>
              <w:t xml:space="preserve">Own real gold?</w:t>
            </w:r>
          </w:p>
        </w:tc>
        <w:tc>
          <w:tcPr>
            <w:tcW w:type="dxa" w:w="1800"/>
            <w:tcMar>
              <w:top w:type="dxa" w:w="80"/>
              <w:left w:type="dxa" w:w="120"/>
              <w:bottom w:type="dxa" w:w="80"/>
              <w:right w:type="dxa" w:w="120"/>
            </w:tcMar>
          </w:tcPr>
          <w:p>
            <w:r>
              <w:rPr>
                <w:b w:val="false"/>
                <w:bCs w:val="false"/>
              </w:rPr>
              <w:t xml:space="preserve">Yes</w:t>
            </w:r>
          </w:p>
        </w:tc>
        <w:tc>
          <w:tcPr>
            <w:tcW w:type="dxa" w:w="1800"/>
            <w:tcMar>
              <w:top w:type="dxa" w:w="80"/>
              <w:left w:type="dxa" w:w="120"/>
              <w:bottom w:type="dxa" w:w="80"/>
              <w:right w:type="dxa" w:w="120"/>
            </w:tcMar>
          </w:tcPr>
          <w:p>
            <w:r>
              <w:rPr>
                <w:b w:val="false"/>
                <w:bCs w:val="false"/>
              </w:rPr>
              <w:t xml:space="preserve">Indirectly</w:t>
            </w:r>
          </w:p>
        </w:tc>
        <w:tc>
          <w:tcPr>
            <w:tcW w:type="dxa" w:w="1800"/>
            <w:tcMar>
              <w:top w:type="dxa" w:w="80"/>
              <w:left w:type="dxa" w:w="120"/>
              <w:bottom w:type="dxa" w:w="80"/>
              <w:right w:type="dxa" w:w="120"/>
            </w:tcMar>
          </w:tcPr>
          <w:p>
            <w:r>
              <w:rPr>
                <w:b w:val="false"/>
                <w:bCs w:val="false"/>
              </w:rPr>
              <w:t xml:space="preserve">No</w:t>
            </w:r>
          </w:p>
        </w:tc>
        <w:tc>
          <w:tcPr>
            <w:tcW w:type="dxa" w:w="1800"/>
            <w:tcMar>
              <w:top w:type="dxa" w:w="80"/>
              <w:left w:type="dxa" w:w="120"/>
              <w:bottom w:type="dxa" w:w="80"/>
              <w:right w:type="dxa" w:w="120"/>
            </w:tcMar>
          </w:tcPr>
          <w:p>
            <w:r>
              <w:rPr>
                <w:b w:val="false"/>
                <w:bCs w:val="false"/>
              </w:rPr>
              <w:t xml:space="preserve">No</w:t>
            </w:r>
          </w:p>
        </w:tc>
      </w:tr>
      <w:tr>
        <w:tc>
          <w:tcPr>
            <w:tcW w:type="dxa" w:w="1826"/>
            <w:shd w:fill="EEF3F8" w:color="auto" w:val="clear"/>
            <w:tcMar>
              <w:top w:type="dxa" w:w="80"/>
              <w:left w:type="dxa" w:w="120"/>
              <w:bottom w:type="dxa" w:w="80"/>
              <w:right w:type="dxa" w:w="120"/>
            </w:tcMar>
          </w:tcPr>
          <w:p>
            <w:r>
              <w:rPr>
                <w:b w:val="false"/>
                <w:bCs w:val="false"/>
              </w:rPr>
              <w:t xml:space="preserve">Storage needed?</w:t>
            </w:r>
          </w:p>
        </w:tc>
        <w:tc>
          <w:tcPr>
            <w:tcW w:type="dxa" w:w="1800"/>
            <w:shd w:fill="EEF3F8" w:color="auto" w:val="clear"/>
            <w:tcMar>
              <w:top w:type="dxa" w:w="80"/>
              <w:left w:type="dxa" w:w="120"/>
              <w:bottom w:type="dxa" w:w="80"/>
              <w:right w:type="dxa" w:w="120"/>
            </w:tcMar>
          </w:tcPr>
          <w:p>
            <w:r>
              <w:rPr>
                <w:b w:val="false"/>
                <w:bCs w:val="false"/>
              </w:rPr>
              <w:t xml:space="preserve">Yes</w:t>
            </w:r>
          </w:p>
        </w:tc>
        <w:tc>
          <w:tcPr>
            <w:tcW w:type="dxa" w:w="1800"/>
            <w:shd w:fill="EEF3F8" w:color="auto" w:val="clear"/>
            <w:tcMar>
              <w:top w:type="dxa" w:w="80"/>
              <w:left w:type="dxa" w:w="120"/>
              <w:bottom w:type="dxa" w:w="80"/>
              <w:right w:type="dxa" w:w="120"/>
            </w:tcMar>
          </w:tcPr>
          <w:p>
            <w:r>
              <w:rPr>
                <w:b w:val="false"/>
                <w:bCs w:val="false"/>
              </w:rPr>
              <w:t xml:space="preserve">No</w:t>
            </w:r>
          </w:p>
        </w:tc>
        <w:tc>
          <w:tcPr>
            <w:tcW w:type="dxa" w:w="1800"/>
            <w:shd w:fill="EEF3F8" w:color="auto" w:val="clear"/>
            <w:tcMar>
              <w:top w:type="dxa" w:w="80"/>
              <w:left w:type="dxa" w:w="120"/>
              <w:bottom w:type="dxa" w:w="80"/>
              <w:right w:type="dxa" w:w="120"/>
            </w:tcMar>
          </w:tcPr>
          <w:p>
            <w:r>
              <w:rPr>
                <w:b w:val="false"/>
                <w:bCs w:val="false"/>
              </w:rPr>
              <w:t xml:space="preserve">No</w:t>
            </w:r>
          </w:p>
        </w:tc>
        <w:tc>
          <w:tcPr>
            <w:tcW w:type="dxa" w:w="1800"/>
            <w:shd w:fill="EEF3F8" w:color="auto" w:val="clear"/>
            <w:tcMar>
              <w:top w:type="dxa" w:w="80"/>
              <w:left w:type="dxa" w:w="120"/>
              <w:bottom w:type="dxa" w:w="80"/>
              <w:right w:type="dxa" w:w="120"/>
            </w:tcMar>
          </w:tcPr>
          <w:p>
            <w:r>
              <w:rPr>
                <w:b w:val="false"/>
                <w:bCs w:val="false"/>
              </w:rPr>
              <w:t xml:space="preserve">No</w:t>
            </w:r>
          </w:p>
        </w:tc>
      </w:tr>
      <w:tr>
        <w:tc>
          <w:tcPr>
            <w:tcW w:type="dxa" w:w="1826"/>
            <w:tcMar>
              <w:top w:type="dxa" w:w="80"/>
              <w:left w:type="dxa" w:w="120"/>
              <w:bottom w:type="dxa" w:w="80"/>
              <w:right w:type="dxa" w:w="120"/>
            </w:tcMar>
          </w:tcPr>
          <w:p>
            <w:r>
              <w:rPr>
                <w:b w:val="false"/>
                <w:bCs w:val="false"/>
              </w:rPr>
              <w:t xml:space="preserve">Profit if price falls?</w:t>
            </w:r>
          </w:p>
        </w:tc>
        <w:tc>
          <w:tcPr>
            <w:tcW w:type="dxa" w:w="1800"/>
            <w:tcMar>
              <w:top w:type="dxa" w:w="80"/>
              <w:left w:type="dxa" w:w="120"/>
              <w:bottom w:type="dxa" w:w="80"/>
              <w:right w:type="dxa" w:w="120"/>
            </w:tcMar>
          </w:tcPr>
          <w:p>
            <w:r>
              <w:rPr>
                <w:b w:val="false"/>
                <w:bCs w:val="false"/>
              </w:rPr>
              <w:t xml:space="preserve">No</w:t>
            </w:r>
          </w:p>
        </w:tc>
        <w:tc>
          <w:tcPr>
            <w:tcW w:type="dxa" w:w="1800"/>
            <w:tcMar>
              <w:top w:type="dxa" w:w="80"/>
              <w:left w:type="dxa" w:w="120"/>
              <w:bottom w:type="dxa" w:w="80"/>
              <w:right w:type="dxa" w:w="120"/>
            </w:tcMar>
          </w:tcPr>
          <w:p>
            <w:r>
              <w:rPr>
                <w:b w:val="false"/>
                <w:bCs w:val="false"/>
              </w:rPr>
              <w:t xml:space="preserve">No</w:t>
            </w:r>
          </w:p>
        </w:tc>
        <w:tc>
          <w:tcPr>
            <w:tcW w:type="dxa" w:w="1800"/>
            <w:tcMar>
              <w:top w:type="dxa" w:w="80"/>
              <w:left w:type="dxa" w:w="120"/>
              <w:bottom w:type="dxa" w:w="80"/>
              <w:right w:type="dxa" w:w="120"/>
            </w:tcMar>
          </w:tcPr>
          <w:p>
            <w:r>
              <w:rPr>
                <w:b w:val="false"/>
                <w:bCs w:val="false"/>
              </w:rPr>
              <w:t xml:space="preserve">No</w:t>
            </w:r>
          </w:p>
        </w:tc>
        <w:tc>
          <w:tcPr>
            <w:tcW w:type="dxa" w:w="1800"/>
            <w:tcMar>
              <w:top w:type="dxa" w:w="80"/>
              <w:left w:type="dxa" w:w="120"/>
              <w:bottom w:type="dxa" w:w="80"/>
              <w:right w:type="dxa" w:w="120"/>
            </w:tcMar>
          </w:tcPr>
          <w:p>
            <w:r>
              <w:rPr>
                <w:b w:val="false"/>
                <w:bCs w:val="false"/>
              </w:rPr>
              <w:t xml:space="preserve">Possible</w:t>
            </w:r>
          </w:p>
        </w:tc>
      </w:tr>
      <w:tr>
        <w:tc>
          <w:tcPr>
            <w:tcW w:type="dxa" w:w="1826"/>
            <w:shd w:fill="EEF3F8" w:color="auto" w:val="clear"/>
            <w:tcMar>
              <w:top w:type="dxa" w:w="80"/>
              <w:left w:type="dxa" w:w="120"/>
              <w:bottom w:type="dxa" w:w="80"/>
              <w:right w:type="dxa" w:w="120"/>
            </w:tcMar>
          </w:tcPr>
          <w:p>
            <w:r>
              <w:rPr>
                <w:b w:val="false"/>
                <w:bCs w:val="false"/>
              </w:rPr>
              <w:t xml:space="preserve">Trading hours</w:t>
            </w:r>
          </w:p>
        </w:tc>
        <w:tc>
          <w:tcPr>
            <w:tcW w:type="dxa" w:w="1800"/>
            <w:shd w:fill="EEF3F8" w:color="auto" w:val="clear"/>
            <w:tcMar>
              <w:top w:type="dxa" w:w="80"/>
              <w:left w:type="dxa" w:w="120"/>
              <w:bottom w:type="dxa" w:w="80"/>
              <w:right w:type="dxa" w:w="120"/>
            </w:tcMar>
          </w:tcPr>
          <w:p>
            <w:r>
              <w:rPr>
                <w:b w:val="false"/>
                <w:bCs w:val="false"/>
              </w:rPr>
              <w:t xml:space="preserve">Dealer hours</w:t>
            </w:r>
          </w:p>
        </w:tc>
        <w:tc>
          <w:tcPr>
            <w:tcW w:type="dxa" w:w="1800"/>
            <w:shd w:fill="EEF3F8" w:color="auto" w:val="clear"/>
            <w:tcMar>
              <w:top w:type="dxa" w:w="80"/>
              <w:left w:type="dxa" w:w="120"/>
              <w:bottom w:type="dxa" w:w="80"/>
              <w:right w:type="dxa" w:w="120"/>
            </w:tcMar>
          </w:tcPr>
          <w:p>
            <w:r>
              <w:rPr>
                <w:b w:val="false"/>
                <w:bCs w:val="false"/>
              </w:rPr>
              <w:t xml:space="preserve">ASX hours</w:t>
            </w:r>
          </w:p>
        </w:tc>
        <w:tc>
          <w:tcPr>
            <w:tcW w:type="dxa" w:w="1800"/>
            <w:shd w:fill="EEF3F8" w:color="auto" w:val="clear"/>
            <w:tcMar>
              <w:top w:type="dxa" w:w="80"/>
              <w:left w:type="dxa" w:w="120"/>
              <w:bottom w:type="dxa" w:w="80"/>
              <w:right w:type="dxa" w:w="120"/>
            </w:tcMar>
          </w:tcPr>
          <w:p>
            <w:r>
              <w:rPr>
                <w:b w:val="false"/>
                <w:bCs w:val="false"/>
              </w:rPr>
              <w:t xml:space="preserve">ASX hours</w:t>
            </w:r>
          </w:p>
        </w:tc>
        <w:tc>
          <w:tcPr>
            <w:tcW w:type="dxa" w:w="1800"/>
            <w:shd w:fill="EEF3F8" w:color="auto" w:val="clear"/>
            <w:tcMar>
              <w:top w:type="dxa" w:w="80"/>
              <w:left w:type="dxa" w:w="120"/>
              <w:bottom w:type="dxa" w:w="80"/>
              <w:right w:type="dxa" w:w="120"/>
            </w:tcMar>
          </w:tcPr>
          <w:p>
            <w:r>
              <w:rPr>
                <w:b w:val="false"/>
                <w:bCs w:val="false"/>
              </w:rPr>
              <w:t xml:space="preserve">Nearly 24/5</w:t>
            </w:r>
          </w:p>
        </w:tc>
      </w:tr>
      <w:tr>
        <w:tc>
          <w:tcPr>
            <w:tcW w:type="dxa" w:w="1826"/>
            <w:tcMar>
              <w:top w:type="dxa" w:w="80"/>
              <w:left w:type="dxa" w:w="120"/>
              <w:bottom w:type="dxa" w:w="80"/>
              <w:right w:type="dxa" w:w="120"/>
            </w:tcMar>
          </w:tcPr>
          <w:p>
            <w:r>
              <w:rPr>
                <w:b w:val="false"/>
                <w:bCs w:val="false"/>
              </w:rPr>
              <w:t xml:space="preserve">Leverage</w:t>
            </w:r>
          </w:p>
        </w:tc>
        <w:tc>
          <w:tcPr>
            <w:tcW w:type="dxa" w:w="1800"/>
            <w:tcMar>
              <w:top w:type="dxa" w:w="80"/>
              <w:left w:type="dxa" w:w="120"/>
              <w:bottom w:type="dxa" w:w="80"/>
              <w:right w:type="dxa" w:w="120"/>
            </w:tcMar>
          </w:tcPr>
          <w:p>
            <w:r>
              <w:rPr>
                <w:b w:val="false"/>
                <w:bCs w:val="false"/>
              </w:rPr>
              <w:t xml:space="preserve">No</w:t>
            </w:r>
          </w:p>
        </w:tc>
        <w:tc>
          <w:tcPr>
            <w:tcW w:type="dxa" w:w="1800"/>
            <w:tcMar>
              <w:top w:type="dxa" w:w="80"/>
              <w:left w:type="dxa" w:w="120"/>
              <w:bottom w:type="dxa" w:w="80"/>
              <w:right w:type="dxa" w:w="120"/>
            </w:tcMar>
          </w:tcPr>
          <w:p>
            <w:r>
              <w:rPr>
                <w:b w:val="false"/>
                <w:bCs w:val="false"/>
              </w:rPr>
              <w:t xml:space="preserve">No</w:t>
            </w:r>
          </w:p>
        </w:tc>
        <w:tc>
          <w:tcPr>
            <w:tcW w:type="dxa" w:w="1800"/>
            <w:tcMar>
              <w:top w:type="dxa" w:w="80"/>
              <w:left w:type="dxa" w:w="120"/>
              <w:bottom w:type="dxa" w:w="80"/>
              <w:right w:type="dxa" w:w="120"/>
            </w:tcMar>
          </w:tcPr>
          <w:p>
            <w:r>
              <w:rPr>
                <w:b w:val="false"/>
                <w:bCs w:val="false"/>
              </w:rPr>
              <w:t xml:space="preserve">No</w:t>
            </w:r>
          </w:p>
        </w:tc>
        <w:tc>
          <w:tcPr>
            <w:tcW w:type="dxa" w:w="1800"/>
            <w:tcMar>
              <w:top w:type="dxa" w:w="80"/>
              <w:left w:type="dxa" w:w="120"/>
              <w:bottom w:type="dxa" w:w="80"/>
              <w:right w:type="dxa" w:w="120"/>
            </w:tcMar>
          </w:tcPr>
          <w:p>
            <w:r>
              <w:rPr>
                <w:b w:val="false"/>
                <w:bCs w:val="false"/>
              </w:rPr>
              <w:t xml:space="preserve">Yes (higher risk)</w:t>
            </w:r>
          </w:p>
        </w:tc>
      </w:tr>
      <w:tr>
        <w:tc>
          <w:tcPr>
            <w:tcW w:type="dxa" w:w="1826"/>
            <w:shd w:fill="EEF3F8" w:color="auto" w:val="clear"/>
            <w:tcMar>
              <w:top w:type="dxa" w:w="80"/>
              <w:left w:type="dxa" w:w="120"/>
              <w:bottom w:type="dxa" w:w="80"/>
              <w:right w:type="dxa" w:w="120"/>
            </w:tcMar>
          </w:tcPr>
          <w:p>
            <w:r>
              <w:rPr>
                <w:b w:val="false"/>
                <w:bCs w:val="false"/>
              </w:rPr>
              <w:t xml:space="preserve">Best for</w:t>
            </w:r>
          </w:p>
        </w:tc>
        <w:tc>
          <w:tcPr>
            <w:tcW w:type="dxa" w:w="1800"/>
            <w:shd w:fill="EEF3F8" w:color="auto" w:val="clear"/>
            <w:tcMar>
              <w:top w:type="dxa" w:w="80"/>
              <w:left w:type="dxa" w:w="120"/>
              <w:bottom w:type="dxa" w:w="80"/>
              <w:right w:type="dxa" w:w="120"/>
            </w:tcMar>
          </w:tcPr>
          <w:p>
            <w:r>
              <w:rPr>
                <w:b w:val="false"/>
                <w:bCs w:val="false"/>
              </w:rPr>
              <w:t xml:space="preserve">Long-term holding</w:t>
            </w:r>
          </w:p>
        </w:tc>
        <w:tc>
          <w:tcPr>
            <w:tcW w:type="dxa" w:w="1800"/>
            <w:shd w:fill="EEF3F8" w:color="auto" w:val="clear"/>
            <w:tcMar>
              <w:top w:type="dxa" w:w="80"/>
              <w:left w:type="dxa" w:w="120"/>
              <w:bottom w:type="dxa" w:w="80"/>
              <w:right w:type="dxa" w:w="120"/>
            </w:tcMar>
          </w:tcPr>
          <w:p>
            <w:r>
              <w:rPr>
                <w:b w:val="false"/>
                <w:bCs w:val="false"/>
              </w:rPr>
              <w:t xml:space="preserve">Simple exposure</w:t>
            </w:r>
          </w:p>
        </w:tc>
        <w:tc>
          <w:tcPr>
            <w:tcW w:type="dxa" w:w="1800"/>
            <w:shd w:fill="EEF3F8" w:color="auto" w:val="clear"/>
            <w:tcMar>
              <w:top w:type="dxa" w:w="80"/>
              <w:left w:type="dxa" w:w="120"/>
              <w:bottom w:type="dxa" w:w="80"/>
              <w:right w:type="dxa" w:w="120"/>
            </w:tcMar>
          </w:tcPr>
          <w:p>
            <w:r>
              <w:rPr>
                <w:b w:val="false"/>
                <w:bCs w:val="false"/>
              </w:rPr>
              <w:t xml:space="preserve">Company growth</w:t>
            </w:r>
          </w:p>
        </w:tc>
        <w:tc>
          <w:tcPr>
            <w:tcW w:type="dxa" w:w="1800"/>
            <w:shd w:fill="EEF3F8" w:color="auto" w:val="clear"/>
            <w:tcMar>
              <w:top w:type="dxa" w:w="80"/>
              <w:left w:type="dxa" w:w="120"/>
              <w:bottom w:type="dxa" w:w="80"/>
              <w:right w:type="dxa" w:w="120"/>
            </w:tcMar>
          </w:tcPr>
          <w:p>
            <w:r>
              <w:rPr>
                <w:b w:val="false"/>
                <w:bCs w:val="false"/>
              </w:rPr>
              <w:t xml:space="preserve">Active trading</w:t>
            </w:r>
          </w:p>
        </w:tc>
      </w:tr>
    </w:tbl>
    <w:p>
      <w:pPr>
        <w:spacing w:after="120"/>
      </w:pPr>
      <w:r>
        <w:t xml:space="preserve">There is no single "best" way. Physical gold and ETFs suit long-term holders. Trading gold with AI suits people who want to trade price moves actively, and who understand the higher risk that comes with leverage.</w:t>
      </w:r>
    </w:p>
    <w:p>
      <w:pPr>
        <w:pBdr>
          <w:bottom w:val="single" w:color="1F3A5F" w:sz="6" w:space="4"/>
        </w:pBdr>
        <w:spacing w:after="120" w:before="360"/>
      </w:pPr>
      <w:r>
        <w:rPr>
          <w:b/>
          <w:bCs/>
          <w:caps/>
          <w:color w:val="1F3A5F"/>
          <w:sz w:val="20"/>
          <w:szCs w:val="20"/>
        </w:rPr>
        <w:t xml:space="preserve">Section 8 — Hours (AU-specific)</w:t>
      </w:r>
    </w:p>
    <w:p>
      <w:pPr>
        <w:pStyle w:val="Heading2"/>
        <w:spacing w:after="120" w:before="240"/>
      </w:pPr>
      <w:r>
        <w:t xml:space="preserve">Gold Trading Hours in Australia (AEST)</w:t>
      </w:r>
    </w:p>
    <w:p>
      <w:pPr>
        <w:spacing w:after="120"/>
      </w:pPr>
      <w:r>
        <w:t xml:space="preserve">Gold trades almost 24 hours a day, Monday to Friday, much like forex. The most active time is usually </w:t>
      </w:r>
      <w:r>
        <w:rPr>
          <w:b/>
          <w:bCs/>
        </w:rPr>
        <w:t xml:space="preserve">11pm to 3am AEST</w:t>
      </w:r>
      <w:r>
        <w:t xml:space="preserve">, when the London and New York sessions overlap and big US data is released. Zephgain's AI keeps watching through these hours while you sleep. (Times shift slightly with daylight saving.)</w:t>
      </w:r>
    </w:p>
    <w:p>
      <w:pPr>
        <w:pBdr>
          <w:bottom w:val="single" w:color="1F3A5F" w:sz="6" w:space="4"/>
        </w:pBdr>
        <w:spacing w:after="120" w:before="360"/>
      </w:pPr>
      <w:r>
        <w:rPr>
          <w:b/>
          <w:bCs/>
          <w:caps/>
          <w:color w:val="1F3A5F"/>
          <w:sz w:val="20"/>
          <w:szCs w:val="20"/>
        </w:rPr>
        <w:t xml:space="preserve">Section 9 — Leverage (Trust)</w:t>
      </w:r>
    </w:p>
    <w:p>
      <w:pPr>
        <w:pStyle w:val="Heading2"/>
        <w:spacing w:after="120" w:before="240"/>
      </w:pPr>
      <w:r>
        <w:t xml:space="preserve">Gold Leverage in Australia: ASIC Limits</w:t>
      </w:r>
    </w:p>
    <w:p>
      <w:pPr>
        <w:spacing w:after="120"/>
      </w:pPr>
      <w:r>
        <w:t xml:space="preserve">ASIC limits leverage on gold CFDs for retail clients to </w:t>
      </w:r>
      <w:r>
        <w:rPr>
          <w:b/>
          <w:bCs/>
        </w:rPr>
        <w:t xml:space="preserve">20:1</w:t>
      </w:r>
      <w:r>
        <w:t xml:space="preserve">. That means a AU$250 deposit can control a position worth up to AU$5,000, so gains and losses both grow faster. Retail clients of ASIC-licensed brokers also get </w:t>
      </w:r>
      <w:r>
        <w:rPr>
          <w:b/>
          <w:bCs/>
        </w:rPr>
        <w:t xml:space="preserve">negative balance protection</w:t>
      </w:r>
      <w:r>
        <w:t xml:space="preserve">, so you can't lose more than the money in your account.</w:t>
      </w:r>
    </w:p>
    <w:p>
      <w:pPr>
        <w:pBdr>
          <w:bottom w:val="single" w:color="1F3A5F" w:sz="6" w:space="4"/>
        </w:pBdr>
        <w:spacing w:after="120" w:before="360"/>
      </w:pPr>
      <w:r>
        <w:rPr>
          <w:b/>
          <w:bCs/>
          <w:caps/>
          <w:color w:val="1F3A5F"/>
          <w:sz w:val="20"/>
          <w:szCs w:val="20"/>
        </w:rPr>
        <w:t xml:space="preserve">Section 10 — Risks</w:t>
      </w:r>
    </w:p>
    <w:p>
      <w:pPr>
        <w:pStyle w:val="Heading2"/>
        <w:spacing w:after="120" w:before="240"/>
      </w:pPr>
      <w:r>
        <w:t xml:space="preserve">Risks of Trading Gold with AI (and How to Manage Them)</w:t>
      </w:r>
    </w:p>
    <w:p>
      <w:pPr>
        <w:pStyle w:val="ListParagraph"/>
        <w:numPr>
          <w:ilvl w:val="0"/>
          <w:numId w:val="2"/>
        </w:numPr>
        <w:spacing w:after="60"/>
      </w:pPr>
      <w:r>
        <w:rPr>
          <w:b/>
          <w:bCs/>
        </w:rPr>
        <w:t xml:space="preserve">Sharp reversals:</w:t>
      </w:r>
      <w:r>
        <w:t xml:space="preserve"> gold fell about 26% from its 2026 peak. Always set a stop-loss.</w:t>
      </w:r>
    </w:p>
    <w:p>
      <w:pPr>
        <w:pStyle w:val="ListParagraph"/>
        <w:numPr>
          <w:ilvl w:val="0"/>
          <w:numId w:val="2"/>
        </w:numPr>
        <w:spacing w:after="60"/>
      </w:pPr>
      <w:r>
        <w:rPr>
          <w:b/>
          <w:bCs/>
        </w:rPr>
        <w:t xml:space="preserve">News shocks:</w:t>
      </w:r>
      <w:r>
        <w:t xml:space="preserve"> Fed decisions or world events can move gold in minutes. Keep position sizes small.</w:t>
      </w:r>
    </w:p>
    <w:p>
      <w:pPr>
        <w:pStyle w:val="ListParagraph"/>
        <w:numPr>
          <w:ilvl w:val="0"/>
          <w:numId w:val="2"/>
        </w:numPr>
        <w:spacing w:after="60"/>
      </w:pPr>
      <w:r>
        <w:rPr>
          <w:b/>
          <w:bCs/>
        </w:rPr>
        <w:t xml:space="preserve">Leverage risk:</w:t>
      </w:r>
      <w:r>
        <w:t xml:space="preserve"> use lower leverage while you learn.</w:t>
      </w:r>
    </w:p>
    <w:p>
      <w:pPr>
        <w:pStyle w:val="ListParagraph"/>
        <w:numPr>
          <w:ilvl w:val="0"/>
          <w:numId w:val="2"/>
        </w:numPr>
        <w:spacing w:after="60"/>
      </w:pPr>
      <w:r>
        <w:rPr>
          <w:b/>
          <w:bCs/>
        </w:rPr>
        <w:t xml:space="preserve">No AI is perfect:</w:t>
      </w:r>
      <w:r>
        <w:t xml:space="preserve"> past results don't guarantee future returns.</w:t>
      </w:r>
    </w:p>
    <w:p>
      <w:pPr>
        <w:pStyle w:val="ListParagraph"/>
        <w:numPr>
          <w:ilvl w:val="0"/>
          <w:numId w:val="2"/>
        </w:numPr>
        <w:spacing w:after="60"/>
      </w:pPr>
      <w:r>
        <w:rPr>
          <w:b/>
          <w:bCs/>
        </w:rPr>
        <w:t xml:space="preserve">Scams:</w:t>
      </w:r>
      <w:r>
        <w:t xml:space="preserve"> avoid "gold bots" promising guaranteed profit. Learn to spot fakes in our Zephgain Review. (Internal link → /zephgain-review)</w:t>
      </w:r>
    </w:p>
    <w:p>
      <w:pPr>
        <w:pBdr>
          <w:bottom w:val="single" w:color="1F3A5F" w:sz="6" w:space="4"/>
        </w:pBdr>
        <w:spacing w:after="120" w:before="360"/>
      </w:pPr>
      <w:r>
        <w:rPr>
          <w:b/>
          <w:bCs/>
          <w:caps/>
          <w:color w:val="1F3A5F"/>
          <w:sz w:val="20"/>
          <w:szCs w:val="20"/>
        </w:rPr>
        <w:t xml:space="preserve">Section 11 — Legal</w:t>
      </w:r>
    </w:p>
    <w:p>
      <w:pPr>
        <w:pStyle w:val="Heading2"/>
        <w:spacing w:after="120" w:before="240"/>
      </w:pPr>
      <w:r>
        <w:t xml:space="preserve">Is AI Gold Trading Legal in Australia?</w:t>
      </w:r>
    </w:p>
    <w:p>
      <w:pPr>
        <w:spacing w:after="120"/>
      </w:pPr>
      <w:r>
        <w:t xml:space="preserve">Yes. Australians can legally trade gold using AI tools. Brokers offering gold CFDs to Australians must hold an Australian Financial Services Licence (AFSL) from ASIC. Zephgain's trades are placed through [broker name], AFSL [number]. You can check any broker's licence on the ASIC Professional Register.</w:t>
      </w:r>
    </w:p>
    <w:p>
      <w:pPr>
        <w:pBdr>
          <w:bottom w:val="single" w:color="1F3A5F" w:sz="6" w:space="4"/>
        </w:pBdr>
        <w:spacing w:after="120" w:before="360"/>
      </w:pPr>
      <w:r>
        <w:rPr>
          <w:b/>
          <w:bCs/>
          <w:caps/>
          <w:color w:val="1F3A5F"/>
          <w:sz w:val="20"/>
          <w:szCs w:val="20"/>
        </w:rPr>
        <w:t xml:space="preserve">Section 12 — Final CTA</w:t>
      </w:r>
    </w:p>
    <w:p>
      <w:pPr>
        <w:pStyle w:val="Heading2"/>
        <w:spacing w:after="120" w:before="240"/>
      </w:pPr>
      <w:r>
        <w:t xml:space="preserve">Start Trading Gold with AI in 3 Steps</w:t>
      </w:r>
    </w:p>
    <w:p>
      <w:pPr>
        <w:pStyle w:val="ListParagraph"/>
        <w:numPr>
          <w:ilvl w:val="0"/>
          <w:numId w:val="3"/>
        </w:numPr>
        <w:spacing w:after="60"/>
      </w:pPr>
      <w:r>
        <w:t xml:space="preserve">Register free in 2 minutes.</w:t>
      </w:r>
    </w:p>
    <w:p>
      <w:pPr>
        <w:pStyle w:val="ListParagraph"/>
        <w:numPr>
          <w:ilvl w:val="0"/>
          <w:numId w:val="3"/>
        </w:numPr>
        <w:spacing w:after="60"/>
      </w:pPr>
      <w:r>
        <w:t xml:space="preserve">Fund your account from AU$250.</w:t>
      </w:r>
    </w:p>
    <w:p>
      <w:pPr>
        <w:pStyle w:val="ListParagraph"/>
        <w:numPr>
          <w:ilvl w:val="0"/>
          <w:numId w:val="3"/>
        </w:numPr>
        <w:spacing w:after="60"/>
      </w:pPr>
      <w:r>
        <w:t xml:space="preserve">Choose XAU/USD or XAU/AUD, set your limits and let the AI watch the market.</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Also explore: AI Crypto Trading (→ /ai-crypto-trading) | AI Forex Trading (→ /ai-forex-trading) | Why Invest with Zephgain (→ /why-invest)</w:t>
      </w:r>
    </w:p>
    <w:p>
      <w:pPr>
        <w:pBdr>
          <w:bottom w:val="single" w:color="1F3A5F" w:sz="6" w:space="4"/>
        </w:pBdr>
        <w:spacing w:after="120" w:before="360"/>
      </w:pPr>
      <w:r>
        <w:rPr>
          <w:b/>
          <w:bCs/>
          <w:caps/>
          <w:color w:val="1F3A5F"/>
          <w:sz w:val="20"/>
          <w:szCs w:val="20"/>
        </w:rPr>
        <w:t xml:space="preserve">Section 13 — FAQ</w:t>
      </w:r>
    </w:p>
    <w:p>
      <w:pPr>
        <w:pStyle w:val="Heading2"/>
        <w:spacing w:after="120" w:before="240"/>
      </w:pPr>
      <w:r>
        <w:t xml:space="preserve">Frequently Asked Questions</w:t>
      </w:r>
    </w:p>
    <w:p>
      <w:pPr>
        <w:pStyle w:val="Heading3"/>
        <w:spacing w:after="120" w:before="240"/>
      </w:pPr>
      <w:r>
        <w:t xml:space="preserve">Is AI gold trading profitable?</w:t>
      </w:r>
    </w:p>
    <w:p>
      <w:pPr>
        <w:spacing w:after="120"/>
      </w:pPr>
      <w:r>
        <w:t xml:space="preserve">It can be, but it is never guaranteed. AI helps with speed and discipline, yet gold can move sharply against any trade. Always use a stop-loss.</w:t>
      </w:r>
    </w:p>
    <w:p>
      <w:pPr>
        <w:pStyle w:val="Heading3"/>
        <w:spacing w:after="120" w:before="240"/>
      </w:pPr>
      <w:r>
        <w:t xml:space="preserve">Do I own physical gold when I trade with Zephgain?</w:t>
      </w:r>
    </w:p>
    <w:p>
      <w:pPr>
        <w:spacing w:after="120"/>
      </w:pPr>
      <w:r>
        <w:t xml:space="preserve">No. You trade gold price movements through CFDs. You don't own, store or insure any physical gold.</w:t>
      </w:r>
    </w:p>
    <w:p>
      <w:pPr>
        <w:pStyle w:val="Heading3"/>
        <w:spacing w:after="120" w:before="240"/>
      </w:pPr>
      <w:r>
        <w:t xml:space="preserve">How much do I need to start trading gold?</w:t>
      </w:r>
    </w:p>
    <w:p>
      <w:pPr>
        <w:spacing w:after="120"/>
      </w:pPr>
      <w:r>
        <w:t xml:space="preserve">The minimum deposit on Zephgain is AU$250.</w:t>
      </w:r>
    </w:p>
    <w:p>
      <w:pPr>
        <w:pStyle w:val="Heading3"/>
        <w:spacing w:after="120" w:before="240"/>
      </w:pPr>
      <w:r>
        <w:t xml:space="preserve">What is XAU/USD?</w:t>
      </w:r>
    </w:p>
    <w:p>
      <w:pPr>
        <w:spacing w:after="120"/>
      </w:pPr>
      <w:r>
        <w:t xml:space="preserve">XAU/USD is the price of one ounce of gold in US dollars. It is the main global benchmark for gold.</w:t>
      </w:r>
    </w:p>
    <w:p>
      <w:pPr>
        <w:pStyle w:val="Heading3"/>
        <w:spacing w:after="120" w:before="240"/>
      </w:pPr>
      <w:r>
        <w:t xml:space="preserve">What is the best time to trade gold in Australia?</w:t>
      </w:r>
    </w:p>
    <w:p>
      <w:pPr>
        <w:spacing w:after="120"/>
      </w:pPr>
      <w:r>
        <w:t xml:space="preserve">Usually 11pm to 3am AEST, when London and New York overlap and trading volume peaks.</w:t>
      </w:r>
    </w:p>
    <w:p>
      <w:pPr>
        <w:pStyle w:val="Heading3"/>
        <w:spacing w:after="120" w:before="240"/>
      </w:pPr>
      <w:r>
        <w:t xml:space="preserve">Do I pay tax on gold trading profits in Australia?</w:t>
      </w:r>
    </w:p>
    <w:p>
      <w:pPr>
        <w:spacing w:after="120"/>
      </w:pPr>
      <w:r>
        <w:t xml:space="preserve">Generally, yes. Gains may be taxed as income or capital gains depending on your situation. Speak with a registered tax agent.</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Gold CFDs are complex products and come with a high risk of losing money rapidly due to leverage. Most retail clients lose money trading CFDs. You could lose some or all of your deposit. Past performance does not guarantee future results. Zephgain does not provide financial or tax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2026-10-06T11:28:30.227Z</dcterms:created>
  <dcterms:modified xsi:type="dcterms:W3CDTF">2026-10-06T11:28:30.228Z</dcterms:modified>
</cp:coreProperties>
</file>

<file path=docProps/custom.xml><?xml version="1.0" encoding="utf-8"?>
<Properties xmlns="http://schemas.openxmlformats.org/officeDocument/2006/custom-properties" xmlns:vt="http://schemas.openxmlformats.org/officeDocument/2006/docPropsVTypes"/>
</file>