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Stock Trading — Hub Page Content</w:t>
      </w:r>
    </w:p>
    <w:p>
      <w:pPr>
        <w:spacing w:after="120"/>
      </w:pPr>
      <w:r>
        <w:rPr>
          <w:color w:val="595959"/>
        </w:rPr>
        <w:t xml:space="preserve">URL: /ai-stock-trading | Primary: "AI stock trading" | Secondary: "AI share trading Australia", "ASX trading", "trade US stocks from Australia", "AI stock picks" | ~1,450 words | Primary keyword used 5x in body + meta</w:t>
      </w:r>
    </w:p>
    <w:p>
      <w:pPr>
        <w:spacing w:after="120"/>
      </w:pPr>
      <w:r>
        <w:rPr>
          <w:i/>
          <w:iCs/>
          <w:color w:val="7F7F7F"/>
          <w:sz w:val="20"/>
          <w:szCs w:val="20"/>
        </w:rPr>
        <w:t xml:space="preserve">Editor note: Confirm the share list and whether shares are traded as CFDs (most likely) or owned directly. If CFDs, keep the "ownership/dividends" rows honest as written. Keep the ASIC leverage line only if the broker is ASIC-licensed. Signals are general information, not personal advice.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AI Stock Trading in Australia | Trade ASX and US Shares with Zephgain</w:t>
      </w:r>
    </w:p>
    <w:p>
      <w:pPr>
        <w:spacing w:after="120"/>
      </w:pPr>
      <w:r>
        <w:rPr>
          <w:b/>
          <w:bCs/>
        </w:rPr>
        <w:t xml:space="preserve">Meta Description:</w:t>
      </w:r>
      <w:r>
        <w:t xml:space="preserve"> Trade ASX and US shares like BHP, CBA, Apple and NVIDIA with AI that tracks earnings, news and price trends. Built-in risk limits and a low AU$250 start. Register free.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AI Stock Trading: Trade ASX and US Shares Smarter</w:t>
      </w:r>
    </w:p>
    <w:p>
      <w:pPr>
        <w:spacing w:after="120"/>
      </w:pPr>
      <w:r>
        <w:t xml:space="preserve">Thousands of listed companies, four earnings seasons a year and news that moves prices in seconds. Keeping up by hand is close to impossible. Zephgain's AI scans ASX and US shares for you, flags clear setups and trades inside the limits you set, including on Wall Street while Australia sleeps.</w:t>
      </w:r>
    </w:p>
    <w:p>
      <w:pPr>
        <w:pStyle w:val="ListParagraph"/>
        <w:numPr>
          <w:ilvl w:val="0"/>
          <w:numId w:val="2"/>
        </w:numPr>
        <w:spacing w:after="60"/>
      </w:pPr>
      <w:r>
        <w:t xml:space="preserve">ASX blue chips and top US tech stocks</w:t>
      </w:r>
    </w:p>
    <w:p>
      <w:pPr>
        <w:pStyle w:val="ListParagraph"/>
        <w:numPr>
          <w:ilvl w:val="0"/>
          <w:numId w:val="2"/>
        </w:numPr>
        <w:spacing w:after="60"/>
      </w:pPr>
      <w:r>
        <w:t xml:space="preserve">AI that reads earnings, news and charts</w:t>
      </w:r>
    </w:p>
    <w:p>
      <w:pPr>
        <w:pStyle w:val="ListParagraph"/>
        <w:numPr>
          <w:ilvl w:val="0"/>
          <w:numId w:val="2"/>
        </w:numPr>
        <w:spacing w:after="60"/>
      </w:pPr>
      <w:r>
        <w:t xml:space="preserve">Start from AU$250</w:t>
      </w:r>
    </w:p>
    <w:p>
      <w:pPr>
        <w:pStyle w:val="ListParagraph"/>
        <w:numPr>
          <w:ilvl w:val="0"/>
          <w:numId w:val="2"/>
        </w:numPr>
        <w:spacing w:after="60"/>
      </w:pPr>
      <w:r>
        <w:t xml:space="preserve">Stop-loss and daily limits on every trade</w:t>
      </w:r>
    </w:p>
    <w:p>
      <w:pPr>
        <w:spacing w:after="200" w:before="120"/>
      </w:pPr>
      <w:r>
        <w:rPr>
          <w:b/>
          <w:bCs/>
        </w:rPr>
        <w:t xml:space="preserve">CTA Button: </w:t>
      </w:r>
      <w:r>
        <w:rPr>
          <w:b/>
          <w:bCs/>
          <w:color w:val="FFFFFF"/>
          <w:shd w:fill="1F7A4D" w:color="auto" w:val="clear"/>
        </w:rPr>
        <w:t xml:space="preserve"> Start Trading Shares with AI </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Is AI Stock Trading?</w:t>
      </w:r>
    </w:p>
    <w:p>
      <w:pPr>
        <w:spacing w:after="120"/>
      </w:pPr>
      <w:r>
        <w:t xml:space="preserve">AI stock trading uses artificial intelligence to analyse share markets and place or suggest trades. The AI studies price charts, company earnings, economic data and news sentiment, then spots patterns and creates buy or sell signals. It can trade automatically within your rules or send you signals to approve.</w:t>
      </w:r>
    </w:p>
    <w:p>
      <w:pPr>
        <w:pBdr>
          <w:bottom w:val="single" w:color="1F3A5F" w:sz="6" w:space="4"/>
        </w:pBdr>
        <w:spacing w:after="120" w:before="360"/>
      </w:pPr>
      <w:r>
        <w:rPr>
          <w:b/>
          <w:bCs/>
          <w:caps/>
          <w:color w:val="1F3A5F"/>
          <w:sz w:val="20"/>
          <w:szCs w:val="20"/>
        </w:rPr>
        <w:t xml:space="preserve">Section 3 — Market Proof</w:t>
      </w:r>
    </w:p>
    <w:p>
      <w:pPr>
        <w:pStyle w:val="Heading2"/>
        <w:spacing w:after="120" w:before="240"/>
      </w:pPr>
      <w:r>
        <w:t xml:space="preserve">Why Investors Are Turning to AI for Shares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c>
          <w:tcPr>
            <w:tcW w:type="dxa" w:w="5513"/>
            <w:shd w:fill="1F3A5F" w:color="auto" w:val="clear"/>
            <w:tcMar>
              <w:top w:type="dxa" w:w="80"/>
              <w:left w:type="dxa" w:w="120"/>
              <w:bottom w:type="dxa" w:w="80"/>
              <w:right w:type="dxa" w:w="120"/>
            </w:tcMar>
          </w:tcPr>
          <w:p>
            <w:r>
              <w:rPr>
                <w:b/>
                <w:bCs/>
                <w:color w:val="FFFFFF"/>
              </w:rPr>
              <w:t xml:space="preserve">Fact</w:t>
            </w:r>
          </w:p>
        </w:tc>
        <w:tc>
          <w:tcPr>
            <w:tcW w:type="dxa" w:w="3513"/>
            <w:shd w:fill="1F3A5F" w:color="auto" w:val="clear"/>
            <w:tcMar>
              <w:top w:type="dxa" w:w="80"/>
              <w:left w:type="dxa" w:w="120"/>
              <w:bottom w:type="dxa" w:w="80"/>
              <w:right w:type="dxa" w:w="120"/>
            </w:tcMar>
          </w:tcPr>
          <w:p>
            <w:r>
              <w:rPr>
                <w:b/>
                <w:bCs/>
                <w:color w:val="FFFFFF"/>
              </w:rPr>
              <w:t xml:space="preserve">Source</w:t>
            </w:r>
          </w:p>
        </w:tc>
      </w:tr>
      <w:tr>
        <w:tc>
          <w:tcPr>
            <w:tcW w:type="dxa" w:w="5513"/>
            <w:tcMar>
              <w:top w:type="dxa" w:w="80"/>
              <w:left w:type="dxa" w:w="120"/>
              <w:bottom w:type="dxa" w:w="80"/>
              <w:right w:type="dxa" w:w="120"/>
            </w:tcMar>
          </w:tcPr>
          <w:p>
            <w:r>
              <w:rPr>
                <w:b w:val="false"/>
                <w:bCs w:val="false"/>
              </w:rPr>
              <w:t xml:space="preserve">About 7.7 million Australians (38%) invest in ASX shares</w:t>
            </w:r>
          </w:p>
        </w:tc>
        <w:tc>
          <w:tcPr>
            <w:tcW w:type="dxa" w:w="3513"/>
            <w:tcMar>
              <w:top w:type="dxa" w:w="80"/>
              <w:left w:type="dxa" w:w="120"/>
              <w:bottom w:type="dxa" w:w="80"/>
              <w:right w:type="dxa" w:w="120"/>
            </w:tcMar>
          </w:tcPr>
          <w:p>
            <w:r>
              <w:rPr>
                <w:b w:val="false"/>
                <w:bCs w:val="false"/>
              </w:rPr>
              <w:t xml:space="preserve">ASX Australian Investor Study</w:t>
            </w:r>
          </w:p>
        </w:tc>
      </w:tr>
      <w:tr>
        <w:tc>
          <w:tcPr>
            <w:tcW w:type="dxa" w:w="5513"/>
            <w:shd w:fill="EEF3F8" w:color="auto" w:val="clear"/>
            <w:tcMar>
              <w:top w:type="dxa" w:w="80"/>
              <w:left w:type="dxa" w:w="120"/>
              <w:bottom w:type="dxa" w:w="80"/>
              <w:right w:type="dxa" w:w="120"/>
            </w:tcMar>
          </w:tcPr>
          <w:p>
            <w:r>
              <w:rPr>
                <w:b w:val="false"/>
                <w:bCs w:val="false"/>
              </w:rPr>
              <w:t xml:space="preserve">~85% of ASX share trading volume is algorithmic</w:t>
            </w:r>
          </w:p>
        </w:tc>
        <w:tc>
          <w:tcPr>
            <w:tcW w:type="dxa" w:w="3513"/>
            <w:shd w:fill="EEF3F8" w:color="auto" w:val="clear"/>
            <w:tcMar>
              <w:top w:type="dxa" w:w="80"/>
              <w:left w:type="dxa" w:w="120"/>
              <w:bottom w:type="dxa" w:w="80"/>
              <w:right w:type="dxa" w:w="120"/>
            </w:tcMar>
          </w:tcPr>
          <w:p>
            <w:r>
              <w:rPr>
                <w:b w:val="false"/>
                <w:bCs w:val="false"/>
              </w:rPr>
              <w:t xml:space="preserve">ASIC estimate, 2025</w:t>
            </w:r>
          </w:p>
        </w:tc>
      </w:tr>
      <w:tr>
        <w:tc>
          <w:tcPr>
            <w:tcW w:type="dxa" w:w="5513"/>
            <w:tcMar>
              <w:top w:type="dxa" w:w="80"/>
              <w:left w:type="dxa" w:w="120"/>
              <w:bottom w:type="dxa" w:w="80"/>
              <w:right w:type="dxa" w:w="120"/>
            </w:tcMar>
          </w:tcPr>
          <w:p>
            <w:r>
              <w:rPr>
                <w:b w:val="false"/>
                <w:bCs w:val="false"/>
              </w:rPr>
              <w:t xml:space="preserve">62% of retail investors have used AI tools for investment decisions</w:t>
            </w:r>
          </w:p>
        </w:tc>
        <w:tc>
          <w:tcPr>
            <w:tcW w:type="dxa" w:w="3513"/>
            <w:tcMar>
              <w:top w:type="dxa" w:w="80"/>
              <w:left w:type="dxa" w:w="120"/>
              <w:bottom w:type="dxa" w:w="80"/>
              <w:right w:type="dxa" w:w="120"/>
            </w:tcMar>
          </w:tcPr>
          <w:p>
            <w:r>
              <w:rPr>
                <w:b w:val="false"/>
                <w:bCs w:val="false"/>
              </w:rPr>
              <w:t xml:space="preserve">Investing.com survey, April 2026</w:t>
            </w:r>
          </w:p>
        </w:tc>
      </w:tr>
    </w:tbl>
    <w:p>
      <w:pPr>
        <w:spacing w:after="120"/>
      </w:pPr>
      <w:r>
        <w:t xml:space="preserve">Big institutions have used algorithms for years. AI now gives everyday Australians access to the same kind of fast, data-driven analysis.</w:t>
      </w:r>
    </w:p>
    <w:p>
      <w:pPr>
        <w:pBdr>
          <w:bottom w:val="single" w:color="1F3A5F" w:sz="6" w:space="4"/>
        </w:pBdr>
        <w:spacing w:after="120" w:before="360"/>
      </w:pPr>
      <w:r>
        <w:rPr>
          <w:b/>
          <w:bCs/>
          <w:caps/>
          <w:color w:val="1F3A5F"/>
          <w:sz w:val="20"/>
          <w:szCs w:val="20"/>
        </w:rPr>
        <w:t xml:space="preserve">Section 4 — Hours (AU-specific)</w:t>
      </w:r>
    </w:p>
    <w:p>
      <w:pPr>
        <w:pStyle w:val="Heading2"/>
        <w:spacing w:after="120" w:before="240"/>
      </w:pPr>
      <w:r>
        <w:t xml:space="preserve">Share Market Hours in Australian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shd w:fill="1F3A5F" w:color="auto" w:val="clear"/>
            <w:tcMar>
              <w:top w:type="dxa" w:w="80"/>
              <w:left w:type="dxa" w:w="120"/>
              <w:bottom w:type="dxa" w:w="80"/>
              <w:right w:type="dxa" w:w="120"/>
            </w:tcMar>
          </w:tcPr>
          <w:p>
            <w:r>
              <w:rPr>
                <w:b/>
                <w:bCs/>
                <w:color w:val="FFFFFF"/>
              </w:rPr>
              <w:t xml:space="preserve">Market</w:t>
            </w:r>
          </w:p>
        </w:tc>
        <w:tc>
          <w:tcPr>
            <w:tcW w:type="dxa" w:w="3626"/>
            <w:shd w:fill="1F3A5F" w:color="auto" w:val="clear"/>
            <w:tcMar>
              <w:top w:type="dxa" w:w="80"/>
              <w:left w:type="dxa" w:w="120"/>
              <w:bottom w:type="dxa" w:w="80"/>
              <w:right w:type="dxa" w:w="120"/>
            </w:tcMar>
          </w:tcPr>
          <w:p>
            <w:r>
              <w:rPr>
                <w:b/>
                <w:bCs/>
                <w:color w:val="FFFFFF"/>
              </w:rPr>
              <w:t xml:space="preserve">Approx. trading hours (Sydney time)</w:t>
            </w:r>
          </w:p>
        </w:tc>
        <w:tc>
          <w:tcPr>
            <w:tcW w:type="dxa" w:w="3000"/>
            <w:shd w:fill="1F3A5F" w:color="auto" w:val="clear"/>
            <w:tcMar>
              <w:top w:type="dxa" w:w="80"/>
              <w:left w:type="dxa" w:w="120"/>
              <w:bottom w:type="dxa" w:w="80"/>
              <w:right w:type="dxa" w:w="120"/>
            </w:tcMar>
          </w:tcPr>
          <w:p>
            <w:r>
              <w:rPr>
                <w:b/>
                <w:bCs/>
                <w:color w:val="FFFFFF"/>
              </w:rPr>
              <w:t xml:space="preserve">Notes</w:t>
            </w:r>
          </w:p>
        </w:tc>
      </w:tr>
      <w:tr>
        <w:tc>
          <w:tcPr>
            <w:tcW w:type="dxa" w:w="2400"/>
            <w:tcMar>
              <w:top w:type="dxa" w:w="80"/>
              <w:left w:type="dxa" w:w="120"/>
              <w:bottom w:type="dxa" w:w="80"/>
              <w:right w:type="dxa" w:w="120"/>
            </w:tcMar>
          </w:tcPr>
          <w:p>
            <w:r>
              <w:rPr>
                <w:b w:val="false"/>
                <w:bCs w:val="false"/>
              </w:rPr>
              <w:t xml:space="preserve">ASX</w:t>
            </w:r>
          </w:p>
        </w:tc>
        <w:tc>
          <w:tcPr>
            <w:tcW w:type="dxa" w:w="3626"/>
            <w:tcMar>
              <w:top w:type="dxa" w:w="80"/>
              <w:left w:type="dxa" w:w="120"/>
              <w:bottom w:type="dxa" w:w="80"/>
              <w:right w:type="dxa" w:w="120"/>
            </w:tcMar>
          </w:tcPr>
          <w:p>
            <w:r>
              <w:rPr>
                <w:b w:val="false"/>
                <w:bCs w:val="false"/>
              </w:rPr>
              <w:t xml:space="preserve">10:00am – 4:00pm</w:t>
            </w:r>
          </w:p>
        </w:tc>
        <w:tc>
          <w:tcPr>
            <w:tcW w:type="dxa" w:w="3000"/>
            <w:tcMar>
              <w:top w:type="dxa" w:w="80"/>
              <w:left w:type="dxa" w:w="120"/>
              <w:bottom w:type="dxa" w:w="80"/>
              <w:right w:type="dxa" w:w="120"/>
            </w:tcMar>
          </w:tcPr>
          <w:p>
            <w:r>
              <w:rPr>
                <w:b w:val="false"/>
                <w:bCs w:val="false"/>
              </w:rPr>
              <w:t xml:space="preserve">Pre-open from 7:00am, closing auction ~4:10pm</w:t>
            </w:r>
          </w:p>
        </w:tc>
      </w:tr>
      <w:tr>
        <w:tc>
          <w:tcPr>
            <w:tcW w:type="dxa" w:w="2400"/>
            <w:shd w:fill="EEF3F8" w:color="auto" w:val="clear"/>
            <w:tcMar>
              <w:top w:type="dxa" w:w="80"/>
              <w:left w:type="dxa" w:w="120"/>
              <w:bottom w:type="dxa" w:w="80"/>
              <w:right w:type="dxa" w:w="120"/>
            </w:tcMar>
          </w:tcPr>
          <w:p>
            <w:r>
              <w:rPr>
                <w:b w:val="false"/>
                <w:bCs w:val="false"/>
              </w:rPr>
              <w:t xml:space="preserve">US (NYSE / Nasdaq)</w:t>
            </w:r>
          </w:p>
        </w:tc>
        <w:tc>
          <w:tcPr>
            <w:tcW w:type="dxa" w:w="3626"/>
            <w:shd w:fill="EEF3F8" w:color="auto" w:val="clear"/>
            <w:tcMar>
              <w:top w:type="dxa" w:w="80"/>
              <w:left w:type="dxa" w:w="120"/>
              <w:bottom w:type="dxa" w:w="80"/>
              <w:right w:type="dxa" w:w="120"/>
            </w:tcMar>
          </w:tcPr>
          <w:p>
            <w:r>
              <w:rPr>
                <w:b w:val="false"/>
                <w:bCs w:val="false"/>
              </w:rPr>
              <w:t xml:space="preserve">~11:30pm – 6:00am or 12:30am – 7:00am</w:t>
            </w:r>
          </w:p>
        </w:tc>
        <w:tc>
          <w:tcPr>
            <w:tcW w:type="dxa" w:w="3000"/>
            <w:shd w:fill="EEF3F8" w:color="auto" w:val="clear"/>
            <w:tcMar>
              <w:top w:type="dxa" w:w="80"/>
              <w:left w:type="dxa" w:w="120"/>
              <w:bottom w:type="dxa" w:w="80"/>
              <w:right w:type="dxa" w:w="120"/>
            </w:tcMar>
          </w:tcPr>
          <w:p>
            <w:r>
              <w:rPr>
                <w:b w:val="false"/>
                <w:bCs w:val="false"/>
              </w:rPr>
              <w:t xml:space="preserve">Shifts with US and Australian daylight saving</w:t>
            </w:r>
          </w:p>
        </w:tc>
      </w:tr>
    </w:tbl>
    <w:p>
      <w:pPr>
        <w:spacing w:after="120"/>
      </w:pPr>
      <w:r>
        <w:t xml:space="preserve">The US market opens while most Australians are asleep. Zephgain's AI can watch and trade US shares overnight, inside your limits.</w:t>
      </w:r>
    </w:p>
    <w:p>
      <w:pPr>
        <w:pBdr>
          <w:bottom w:val="single" w:color="1F3A5F" w:sz="6" w:space="4"/>
        </w:pBdr>
        <w:spacing w:after="120" w:before="360"/>
      </w:pPr>
      <w:r>
        <w:rPr>
          <w:b/>
          <w:bCs/>
          <w:caps/>
          <w:color w:val="1F3A5F"/>
          <w:sz w:val="20"/>
          <w:szCs w:val="20"/>
        </w:rPr>
        <w:t xml:space="preserve">Section 5</w:t>
      </w:r>
    </w:p>
    <w:p>
      <w:pPr>
        <w:pStyle w:val="Heading2"/>
        <w:spacing w:after="120" w:before="240"/>
      </w:pPr>
      <w:r>
        <w:t xml:space="preserve">How Zephgain's AI Trades Shares</w:t>
      </w:r>
    </w:p>
    <w:p>
      <w:pPr>
        <w:pStyle w:val="ListParagraph"/>
        <w:numPr>
          <w:ilvl w:val="0"/>
          <w:numId w:val="3"/>
        </w:numPr>
        <w:spacing w:after="60"/>
      </w:pPr>
      <w:r>
        <w:rPr>
          <w:b/>
          <w:bCs/>
        </w:rPr>
        <w:t xml:space="preserve">Tracks earnings:</w:t>
      </w:r>
      <w:r>
        <w:t xml:space="preserve"> results, guidance and surprises during reporting season.</w:t>
      </w:r>
    </w:p>
    <w:p>
      <w:pPr>
        <w:pStyle w:val="ListParagraph"/>
        <w:numPr>
          <w:ilvl w:val="0"/>
          <w:numId w:val="3"/>
        </w:numPr>
        <w:spacing w:after="60"/>
      </w:pPr>
      <w:r>
        <w:rPr>
          <w:b/>
          <w:bCs/>
        </w:rPr>
        <w:t xml:space="preserve">Reads the chart:</w:t>
      </w:r>
      <w:r>
        <w:t xml:space="preserve"> trends, breakouts, support and resistance levels.</w:t>
      </w:r>
    </w:p>
    <w:p>
      <w:pPr>
        <w:pStyle w:val="ListParagraph"/>
        <w:numPr>
          <w:ilvl w:val="0"/>
          <w:numId w:val="3"/>
        </w:numPr>
        <w:spacing w:after="60"/>
      </w:pPr>
      <w:r>
        <w:rPr>
          <w:b/>
          <w:bCs/>
        </w:rPr>
        <w:t xml:space="preserve">Watches sectors:</w:t>
      </w:r>
      <w:r>
        <w:t xml:space="preserve"> spots money moving between sectors like mining, banks and tech.</w:t>
      </w:r>
    </w:p>
    <w:p>
      <w:pPr>
        <w:pStyle w:val="ListParagraph"/>
        <w:numPr>
          <w:ilvl w:val="0"/>
          <w:numId w:val="3"/>
        </w:numPr>
        <w:spacing w:after="60"/>
      </w:pPr>
      <w:r>
        <w:rPr>
          <w:b/>
          <w:bCs/>
        </w:rPr>
        <w:t xml:space="preserve">Reads the news:</w:t>
      </w:r>
      <w:r>
        <w:t xml:space="preserve"> company announcements, rate decisions and market mood.</w:t>
      </w:r>
    </w:p>
    <w:p>
      <w:pPr>
        <w:pStyle w:val="ListParagraph"/>
        <w:numPr>
          <w:ilvl w:val="0"/>
          <w:numId w:val="3"/>
        </w:numPr>
        <w:spacing w:after="60"/>
      </w:pPr>
      <w:r>
        <w:rPr>
          <w:b/>
          <w:bCs/>
        </w:rPr>
        <w:t xml:space="preserve">Applies your rules:</w:t>
      </w:r>
      <w:r>
        <w:t xml:space="preserve"> every trade must pass your stop-loss, take-profit and daily limits.</w:t>
      </w:r>
    </w:p>
    <w:p>
      <w:pPr>
        <w:spacing w:after="120"/>
      </w:pPr>
      <w:r>
        <w:t xml:space="preserve">See the full process on our How It Works page. (Internal link → /how-it-works)</w:t>
      </w:r>
    </w:p>
    <w:p>
      <w:pPr>
        <w:pBdr>
          <w:bottom w:val="single" w:color="1F3A5F" w:sz="6" w:space="4"/>
        </w:pBdr>
        <w:spacing w:after="120" w:before="360"/>
      </w:pPr>
      <w:r>
        <w:rPr>
          <w:b/>
          <w:bCs/>
          <w:caps/>
          <w:color w:val="1F3A5F"/>
          <w:sz w:val="20"/>
          <w:szCs w:val="20"/>
        </w:rPr>
        <w:t xml:space="preserve">Section 6 — Stocks</w:t>
      </w:r>
    </w:p>
    <w:p>
      <w:pPr>
        <w:pStyle w:val="Heading2"/>
        <w:spacing w:after="120" w:before="240"/>
      </w:pPr>
      <w:r>
        <w:t xml:space="preserve">Popular Shares You Can 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shd w:fill="1F3A5F" w:color="auto" w:val="clear"/>
            <w:tcMar>
              <w:top w:type="dxa" w:w="80"/>
              <w:left w:type="dxa" w:w="120"/>
              <w:bottom w:type="dxa" w:w="80"/>
              <w:right w:type="dxa" w:w="120"/>
            </w:tcMar>
          </w:tcPr>
          <w:p>
            <w:r>
              <w:rPr>
                <w:b/>
                <w:bCs/>
                <w:color w:val="FFFFFF"/>
              </w:rPr>
              <w:t xml:space="preserve">Market</w:t>
            </w:r>
          </w:p>
        </w:tc>
        <w:tc>
          <w:tcPr>
            <w:tcW w:type="dxa" w:w="3613"/>
            <w:shd w:fill="1F3A5F" w:color="auto" w:val="clear"/>
            <w:tcMar>
              <w:top w:type="dxa" w:w="80"/>
              <w:left w:type="dxa" w:w="120"/>
              <w:bottom w:type="dxa" w:w="80"/>
              <w:right w:type="dxa" w:w="120"/>
            </w:tcMar>
          </w:tcPr>
          <w:p>
            <w:r>
              <w:rPr>
                <w:b/>
                <w:bCs/>
                <w:color w:val="FFFFFF"/>
              </w:rPr>
              <w:t xml:space="preserve">Examples</w:t>
            </w:r>
          </w:p>
        </w:tc>
        <w:tc>
          <w:tcPr>
            <w:tcW w:type="dxa" w:w="3613"/>
            <w:shd w:fill="1F3A5F" w:color="auto" w:val="clear"/>
            <w:tcMar>
              <w:top w:type="dxa" w:w="80"/>
              <w:left w:type="dxa" w:w="120"/>
              <w:bottom w:type="dxa" w:w="80"/>
              <w:right w:type="dxa" w:w="120"/>
            </w:tcMar>
          </w:tcPr>
          <w:p>
            <w:r>
              <w:rPr>
                <w:b/>
                <w:bCs/>
                <w:color w:val="FFFFFF"/>
              </w:rPr>
              <w:t xml:space="preserve">Why traders watch them</w:t>
            </w:r>
          </w:p>
        </w:tc>
      </w:tr>
      <w:tr>
        <w:tc>
          <w:tcPr>
            <w:tcW w:type="dxa" w:w="1800"/>
            <w:tcMar>
              <w:top w:type="dxa" w:w="80"/>
              <w:left w:type="dxa" w:w="120"/>
              <w:bottom w:type="dxa" w:w="80"/>
              <w:right w:type="dxa" w:w="120"/>
            </w:tcMar>
          </w:tcPr>
          <w:p>
            <w:r>
              <w:rPr>
                <w:b w:val="false"/>
                <w:bCs w:val="false"/>
              </w:rPr>
              <w:t xml:space="preserve">ASX</w:t>
            </w:r>
          </w:p>
        </w:tc>
        <w:tc>
          <w:tcPr>
            <w:tcW w:type="dxa" w:w="3613"/>
            <w:tcMar>
              <w:top w:type="dxa" w:w="80"/>
              <w:left w:type="dxa" w:w="120"/>
              <w:bottom w:type="dxa" w:w="80"/>
              <w:right w:type="dxa" w:w="120"/>
            </w:tcMar>
          </w:tcPr>
          <w:p>
            <w:r>
              <w:rPr>
                <w:b w:val="false"/>
                <w:bCs w:val="false"/>
              </w:rPr>
              <w:t xml:space="preserve">BHP, CBA, CSL, Woolworths</w:t>
            </w:r>
          </w:p>
        </w:tc>
        <w:tc>
          <w:tcPr>
            <w:tcW w:type="dxa" w:w="3613"/>
            <w:tcMar>
              <w:top w:type="dxa" w:w="80"/>
              <w:left w:type="dxa" w:w="120"/>
              <w:bottom w:type="dxa" w:w="80"/>
              <w:right w:type="dxa" w:w="120"/>
            </w:tcMar>
          </w:tcPr>
          <w:p>
            <w:r>
              <w:rPr>
                <w:b w:val="false"/>
                <w:bCs w:val="false"/>
              </w:rPr>
              <w:t xml:space="preserve">Big, liquid Australian companies</w:t>
            </w:r>
          </w:p>
        </w:tc>
      </w:tr>
      <w:tr>
        <w:tc>
          <w:tcPr>
            <w:tcW w:type="dxa" w:w="1800"/>
            <w:shd w:fill="EEF3F8" w:color="auto" w:val="clear"/>
            <w:tcMar>
              <w:top w:type="dxa" w:w="80"/>
              <w:left w:type="dxa" w:w="120"/>
              <w:bottom w:type="dxa" w:w="80"/>
              <w:right w:type="dxa" w:w="120"/>
            </w:tcMar>
          </w:tcPr>
          <w:p>
            <w:r>
              <w:rPr>
                <w:b w:val="false"/>
                <w:bCs w:val="false"/>
              </w:rPr>
              <w:t xml:space="preserve">US tech</w:t>
            </w:r>
          </w:p>
        </w:tc>
        <w:tc>
          <w:tcPr>
            <w:tcW w:type="dxa" w:w="3613"/>
            <w:shd w:fill="EEF3F8" w:color="auto" w:val="clear"/>
            <w:tcMar>
              <w:top w:type="dxa" w:w="80"/>
              <w:left w:type="dxa" w:w="120"/>
              <w:bottom w:type="dxa" w:w="80"/>
              <w:right w:type="dxa" w:w="120"/>
            </w:tcMar>
          </w:tcPr>
          <w:p>
            <w:r>
              <w:rPr>
                <w:b w:val="false"/>
                <w:bCs w:val="false"/>
              </w:rPr>
              <w:t xml:space="preserve">Apple, NVIDIA, Microsoft, Tesla</w:t>
            </w:r>
          </w:p>
        </w:tc>
        <w:tc>
          <w:tcPr>
            <w:tcW w:type="dxa" w:w="3613"/>
            <w:shd w:fill="EEF3F8" w:color="auto" w:val="clear"/>
            <w:tcMar>
              <w:top w:type="dxa" w:w="80"/>
              <w:left w:type="dxa" w:w="120"/>
              <w:bottom w:type="dxa" w:w="80"/>
              <w:right w:type="dxa" w:w="120"/>
            </w:tcMar>
          </w:tcPr>
          <w:p>
            <w:r>
              <w:rPr>
                <w:b w:val="false"/>
                <w:bCs w:val="false"/>
              </w:rPr>
              <w:t xml:space="preserve">High volume and big news-driven moves</w:t>
            </w:r>
          </w:p>
        </w:tc>
      </w:tr>
      <w:tr>
        <w:tc>
          <w:tcPr>
            <w:tcW w:type="dxa" w:w="1800"/>
            <w:tcMar>
              <w:top w:type="dxa" w:w="80"/>
              <w:left w:type="dxa" w:w="120"/>
              <w:bottom w:type="dxa" w:w="80"/>
              <w:right w:type="dxa" w:w="120"/>
            </w:tcMar>
          </w:tcPr>
          <w:p>
            <w:r>
              <w:rPr>
                <w:b w:val="false"/>
                <w:bCs w:val="false"/>
              </w:rPr>
              <w:t xml:space="preserve">Indices</w:t>
            </w:r>
          </w:p>
        </w:tc>
        <w:tc>
          <w:tcPr>
            <w:tcW w:type="dxa" w:w="3613"/>
            <w:tcMar>
              <w:top w:type="dxa" w:w="80"/>
              <w:left w:type="dxa" w:w="120"/>
              <w:bottom w:type="dxa" w:w="80"/>
              <w:right w:type="dxa" w:w="120"/>
            </w:tcMar>
          </w:tcPr>
          <w:p>
            <w:r>
              <w:rPr>
                <w:b w:val="false"/>
                <w:bCs w:val="false"/>
              </w:rPr>
              <w:t xml:space="preserve">ASX 200, S&amp;P 500, Nasdaq 100</w:t>
            </w:r>
          </w:p>
        </w:tc>
        <w:tc>
          <w:tcPr>
            <w:tcW w:type="dxa" w:w="3613"/>
            <w:tcMar>
              <w:top w:type="dxa" w:w="80"/>
              <w:left w:type="dxa" w:w="120"/>
              <w:bottom w:type="dxa" w:w="80"/>
              <w:right w:type="dxa" w:w="120"/>
            </w:tcMar>
          </w:tcPr>
          <w:p>
            <w:r>
              <w:rPr>
                <w:b w:val="false"/>
                <w:bCs w:val="false"/>
              </w:rPr>
              <w:t xml:space="preserve">Trade the whole market in one position</w:t>
            </w:r>
          </w:p>
        </w:tc>
      </w:tr>
      <w:tr>
        <w:tc>
          <w:tcPr>
            <w:tcW w:type="dxa" w:w="1800"/>
            <w:shd w:fill="EEF3F8" w:color="auto" w:val="clear"/>
            <w:tcMar>
              <w:top w:type="dxa" w:w="80"/>
              <w:left w:type="dxa" w:w="120"/>
              <w:bottom w:type="dxa" w:w="80"/>
              <w:right w:type="dxa" w:w="120"/>
            </w:tcMar>
          </w:tcPr>
          <w:p>
            <w:r>
              <w:rPr>
                <w:b w:val="false"/>
                <w:bCs w:val="false"/>
              </w:rPr>
              <w:t xml:space="preserve">[More]</w:t>
            </w:r>
          </w:p>
        </w:tc>
        <w:tc>
          <w:tcPr>
            <w:tcW w:type="dxa" w:w="3613"/>
            <w:shd w:fill="EEF3F8" w:color="auto" w:val="clear"/>
            <w:tcMar>
              <w:top w:type="dxa" w:w="80"/>
              <w:left w:type="dxa" w:w="120"/>
              <w:bottom w:type="dxa" w:w="80"/>
              <w:right w:type="dxa" w:w="120"/>
            </w:tcMar>
          </w:tcPr>
          <w:p>
            <w:r>
              <w:rPr>
                <w:b w:val="false"/>
                <w:bCs w:val="false"/>
              </w:rPr>
              <w:t xml:space="preserve">[Confirm full list with broker]</w:t>
            </w:r>
          </w:p>
        </w:tc>
        <w:tc>
          <w:tcPr>
            <w:tcW w:type="dxa" w:w="3613"/>
            <w:shd w:fill="EEF3F8" w:color="auto" w:val="clear"/>
            <w:tcMar>
              <w:top w:type="dxa" w:w="80"/>
              <w:left w:type="dxa" w:w="120"/>
              <w:bottom w:type="dxa" w:w="80"/>
              <w:right w:type="dxa" w:w="120"/>
            </w:tcMar>
          </w:tcPr>
          <w:p>
            <w:r>
              <w:rPr>
                <w:b w:val="false"/>
                <w:bCs w:val="false"/>
              </w:rPr>
              <w:t xml:space="preserve"/>
            </w:r>
          </w:p>
        </w:tc>
      </w:tr>
    </w:tbl>
    <w:p>
      <w:pPr>
        <w:pBdr>
          <w:bottom w:val="single" w:color="1F3A5F" w:sz="6" w:space="4"/>
        </w:pBdr>
        <w:spacing w:after="120" w:before="360"/>
      </w:pPr>
      <w:r>
        <w:rPr>
          <w:b/>
          <w:bCs/>
          <w:caps/>
          <w:color w:val="1F3A5F"/>
          <w:sz w:val="20"/>
          <w:szCs w:val="20"/>
        </w:rPr>
        <w:t xml:space="preserve">Section 7 — Comparison (Honesty)</w:t>
      </w:r>
    </w:p>
    <w:p>
      <w:pPr>
        <w:pStyle w:val="Heading2"/>
        <w:spacing w:after="120" w:before="240"/>
      </w:pPr>
      <w:r>
        <w:t xml:space="preserve">Buying Shares vs Trading Shares with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2000"/>
        <w:gridCol w:w="2800"/>
      </w:tblGrid>
      <w:tr>
        <w:tc>
          <w:tcPr>
            <w:tcW w:type="dxa" w:w="1826"/>
            <w:shd w:fill="1F3A5F" w:color="auto" w:val="clear"/>
            <w:tcMar>
              <w:top w:type="dxa" w:w="80"/>
              <w:left w:type="dxa" w:w="120"/>
              <w:bottom w:type="dxa" w:w="80"/>
              <w:right w:type="dxa" w:w="120"/>
            </w:tcMar>
          </w:tcPr>
          <w:p>
            <w:r>
              <w:rPr>
                <w:b/>
                <w:bCs/>
                <w:color w:val="FFFFFF"/>
              </w:rPr>
              <w:t xml:space="preserve"/>
            </w:r>
          </w:p>
        </w:tc>
        <w:tc>
          <w:tcPr>
            <w:tcW w:type="dxa" w:w="2400"/>
            <w:shd w:fill="1F3A5F" w:color="auto" w:val="clear"/>
            <w:tcMar>
              <w:top w:type="dxa" w:w="80"/>
              <w:left w:type="dxa" w:w="120"/>
              <w:bottom w:type="dxa" w:w="80"/>
              <w:right w:type="dxa" w:w="120"/>
            </w:tcMar>
          </w:tcPr>
          <w:p>
            <w:r>
              <w:rPr>
                <w:b/>
                <w:bCs/>
                <w:color w:val="FFFFFF"/>
              </w:rPr>
              <w:t xml:space="preserve">Buying shares (broker / CHESS)</w:t>
            </w:r>
          </w:p>
        </w:tc>
        <w:tc>
          <w:tcPr>
            <w:tcW w:type="dxa" w:w="2000"/>
            <w:shd w:fill="1F3A5F" w:color="auto" w:val="clear"/>
            <w:tcMar>
              <w:top w:type="dxa" w:w="80"/>
              <w:left w:type="dxa" w:w="120"/>
              <w:bottom w:type="dxa" w:w="80"/>
              <w:right w:type="dxa" w:w="120"/>
            </w:tcMar>
          </w:tcPr>
          <w:p>
            <w:r>
              <w:rPr>
                <w:b/>
                <w:bCs/>
                <w:color w:val="FFFFFF"/>
              </w:rPr>
              <w:t xml:space="preserve">Share ETF</w:t>
            </w:r>
          </w:p>
        </w:tc>
        <w:tc>
          <w:tcPr>
            <w:tcW w:type="dxa" w:w="2800"/>
            <w:shd w:fill="1F3A5F" w:color="auto" w:val="clear"/>
            <w:tcMar>
              <w:top w:type="dxa" w:w="80"/>
              <w:left w:type="dxa" w:w="120"/>
              <w:bottom w:type="dxa" w:w="80"/>
              <w:right w:type="dxa" w:w="120"/>
            </w:tcMar>
          </w:tcPr>
          <w:p>
            <w:r>
              <w:rPr>
                <w:b/>
                <w:bCs/>
                <w:color w:val="FFFFFF"/>
              </w:rPr>
              <w:t xml:space="preserve">Trading shares with AI (CFD)</w:t>
            </w:r>
          </w:p>
        </w:tc>
      </w:tr>
      <w:tr>
        <w:tc>
          <w:tcPr>
            <w:tcW w:type="dxa" w:w="1826"/>
            <w:tcMar>
              <w:top w:type="dxa" w:w="80"/>
              <w:left w:type="dxa" w:w="120"/>
              <w:bottom w:type="dxa" w:w="80"/>
              <w:right w:type="dxa" w:w="120"/>
            </w:tcMar>
          </w:tcPr>
          <w:p>
            <w:r>
              <w:rPr>
                <w:b w:val="false"/>
                <w:bCs w:val="false"/>
              </w:rPr>
              <w:t xml:space="preserve">Own the shares?</w:t>
            </w:r>
          </w:p>
        </w:tc>
        <w:tc>
          <w:tcPr>
            <w:tcW w:type="dxa" w:w="2400"/>
            <w:tcMar>
              <w:top w:type="dxa" w:w="80"/>
              <w:left w:type="dxa" w:w="120"/>
              <w:bottom w:type="dxa" w:w="80"/>
              <w:right w:type="dxa" w:w="120"/>
            </w:tcMar>
          </w:tcPr>
          <w:p>
            <w:r>
              <w:rPr>
                <w:b w:val="false"/>
                <w:bCs w:val="false"/>
              </w:rPr>
              <w:t xml:space="preserve">Yes</w:t>
            </w:r>
          </w:p>
        </w:tc>
        <w:tc>
          <w:tcPr>
            <w:tcW w:type="dxa" w:w="2000"/>
            <w:tcMar>
              <w:top w:type="dxa" w:w="80"/>
              <w:left w:type="dxa" w:w="120"/>
              <w:bottom w:type="dxa" w:w="80"/>
              <w:right w:type="dxa" w:w="120"/>
            </w:tcMar>
          </w:tcPr>
          <w:p>
            <w:r>
              <w:rPr>
                <w:b w:val="false"/>
                <w:bCs w:val="false"/>
              </w:rPr>
              <w:t xml:space="preserve">Yes (units in a fund)</w:t>
            </w:r>
          </w:p>
        </w:tc>
        <w:tc>
          <w:tcPr>
            <w:tcW w:type="dxa" w:w="2800"/>
            <w:tcMar>
              <w:top w:type="dxa" w:w="80"/>
              <w:left w:type="dxa" w:w="120"/>
              <w:bottom w:type="dxa" w:w="80"/>
              <w:right w:type="dxa" w:w="120"/>
            </w:tcMar>
          </w:tcPr>
          <w:p>
            <w:r>
              <w:rPr>
                <w:b w:val="false"/>
                <w:bCs w:val="false"/>
              </w:rPr>
              <w:t xml:space="preserve">No</w:t>
            </w:r>
          </w:p>
        </w:tc>
      </w:tr>
      <w:tr>
        <w:tc>
          <w:tcPr>
            <w:tcW w:type="dxa" w:w="1826"/>
            <w:shd w:fill="EEF3F8" w:color="auto" w:val="clear"/>
            <w:tcMar>
              <w:top w:type="dxa" w:w="80"/>
              <w:left w:type="dxa" w:w="120"/>
              <w:bottom w:type="dxa" w:w="80"/>
              <w:right w:type="dxa" w:w="120"/>
            </w:tcMar>
          </w:tcPr>
          <w:p>
            <w:r>
              <w:rPr>
                <w:b w:val="false"/>
                <w:bCs w:val="false"/>
              </w:rPr>
              <w:t xml:space="preserve">Dividends</w:t>
            </w:r>
          </w:p>
        </w:tc>
        <w:tc>
          <w:tcPr>
            <w:tcW w:type="dxa" w:w="2400"/>
            <w:shd w:fill="EEF3F8" w:color="auto" w:val="clear"/>
            <w:tcMar>
              <w:top w:type="dxa" w:w="80"/>
              <w:left w:type="dxa" w:w="120"/>
              <w:bottom w:type="dxa" w:w="80"/>
              <w:right w:type="dxa" w:w="120"/>
            </w:tcMar>
          </w:tcPr>
          <w:p>
            <w:r>
              <w:rPr>
                <w:b w:val="false"/>
                <w:bCs w:val="false"/>
              </w:rPr>
              <w:t xml:space="preserve">Yes</w:t>
            </w:r>
          </w:p>
        </w:tc>
        <w:tc>
          <w:tcPr>
            <w:tcW w:type="dxa" w:w="2000"/>
            <w:shd w:fill="EEF3F8" w:color="auto" w:val="clear"/>
            <w:tcMar>
              <w:top w:type="dxa" w:w="80"/>
              <w:left w:type="dxa" w:w="120"/>
              <w:bottom w:type="dxa" w:w="80"/>
              <w:right w:type="dxa" w:w="120"/>
            </w:tcMar>
          </w:tcPr>
          <w:p>
            <w:r>
              <w:rPr>
                <w:b w:val="false"/>
                <w:bCs w:val="false"/>
              </w:rPr>
              <w:t xml:space="preserve">Yes</w:t>
            </w:r>
          </w:p>
        </w:tc>
        <w:tc>
          <w:tcPr>
            <w:tcW w:type="dxa" w:w="2800"/>
            <w:shd w:fill="EEF3F8" w:color="auto" w:val="clear"/>
            <w:tcMar>
              <w:top w:type="dxa" w:w="80"/>
              <w:left w:type="dxa" w:w="120"/>
              <w:bottom w:type="dxa" w:w="80"/>
              <w:right w:type="dxa" w:w="120"/>
            </w:tcMar>
          </w:tcPr>
          <w:p>
            <w:r>
              <w:rPr>
                <w:b w:val="false"/>
                <w:bCs w:val="false"/>
              </w:rPr>
              <w:t xml:space="preserve">Cash adjustment only [confirm]</w:t>
            </w:r>
          </w:p>
        </w:tc>
      </w:tr>
      <w:tr>
        <w:tc>
          <w:tcPr>
            <w:tcW w:type="dxa" w:w="1826"/>
            <w:tcMar>
              <w:top w:type="dxa" w:w="80"/>
              <w:left w:type="dxa" w:w="120"/>
              <w:bottom w:type="dxa" w:w="80"/>
              <w:right w:type="dxa" w:w="120"/>
            </w:tcMar>
          </w:tcPr>
          <w:p>
            <w:r>
              <w:rPr>
                <w:b w:val="false"/>
                <w:bCs w:val="false"/>
              </w:rPr>
              <w:t xml:space="preserve">Voting rights</w:t>
            </w:r>
          </w:p>
        </w:tc>
        <w:tc>
          <w:tcPr>
            <w:tcW w:type="dxa" w:w="2400"/>
            <w:tcMar>
              <w:top w:type="dxa" w:w="80"/>
              <w:left w:type="dxa" w:w="120"/>
              <w:bottom w:type="dxa" w:w="80"/>
              <w:right w:type="dxa" w:w="120"/>
            </w:tcMar>
          </w:tcPr>
          <w:p>
            <w:r>
              <w:rPr>
                <w:b w:val="false"/>
                <w:bCs w:val="false"/>
              </w:rPr>
              <w:t xml:space="preserve">Yes</w:t>
            </w:r>
          </w:p>
        </w:tc>
        <w:tc>
          <w:tcPr>
            <w:tcW w:type="dxa" w:w="2000"/>
            <w:tcMar>
              <w:top w:type="dxa" w:w="80"/>
              <w:left w:type="dxa" w:w="120"/>
              <w:bottom w:type="dxa" w:w="80"/>
              <w:right w:type="dxa" w:w="120"/>
            </w:tcMar>
          </w:tcPr>
          <w:p>
            <w:r>
              <w:rPr>
                <w:b w:val="false"/>
                <w:bCs w:val="false"/>
              </w:rPr>
              <w:t xml:space="preserve">No</w:t>
            </w:r>
          </w:p>
        </w:tc>
        <w:tc>
          <w:tcPr>
            <w:tcW w:type="dxa" w:w="2800"/>
            <w:tcMar>
              <w:top w:type="dxa" w:w="80"/>
              <w:left w:type="dxa" w:w="120"/>
              <w:bottom w:type="dxa" w:w="80"/>
              <w:right w:type="dxa" w:w="120"/>
            </w:tcMar>
          </w:tcPr>
          <w:p>
            <w:r>
              <w:rPr>
                <w:b w:val="false"/>
                <w:bCs w:val="false"/>
              </w:rPr>
              <w:t xml:space="preserve">No</w:t>
            </w:r>
          </w:p>
        </w:tc>
      </w:tr>
      <w:tr>
        <w:tc>
          <w:tcPr>
            <w:tcW w:type="dxa" w:w="1826"/>
            <w:shd w:fill="EEF3F8" w:color="auto" w:val="clear"/>
            <w:tcMar>
              <w:top w:type="dxa" w:w="80"/>
              <w:left w:type="dxa" w:w="120"/>
              <w:bottom w:type="dxa" w:w="80"/>
              <w:right w:type="dxa" w:w="120"/>
            </w:tcMar>
          </w:tcPr>
          <w:p>
            <w:r>
              <w:rPr>
                <w:b w:val="false"/>
                <w:bCs w:val="false"/>
              </w:rPr>
              <w:t xml:space="preserve">Profit if price falls?</w:t>
            </w:r>
          </w:p>
        </w:tc>
        <w:tc>
          <w:tcPr>
            <w:tcW w:type="dxa" w:w="2400"/>
            <w:shd w:fill="EEF3F8" w:color="auto" w:val="clear"/>
            <w:tcMar>
              <w:top w:type="dxa" w:w="80"/>
              <w:left w:type="dxa" w:w="120"/>
              <w:bottom w:type="dxa" w:w="80"/>
              <w:right w:type="dxa" w:w="120"/>
            </w:tcMar>
          </w:tcPr>
          <w:p>
            <w:r>
              <w:rPr>
                <w:b w:val="false"/>
                <w:bCs w:val="false"/>
              </w:rPr>
              <w:t xml:space="preserve">No</w:t>
            </w:r>
          </w:p>
        </w:tc>
        <w:tc>
          <w:tcPr>
            <w:tcW w:type="dxa" w:w="2000"/>
            <w:shd w:fill="EEF3F8" w:color="auto" w:val="clear"/>
            <w:tcMar>
              <w:top w:type="dxa" w:w="80"/>
              <w:left w:type="dxa" w:w="120"/>
              <w:bottom w:type="dxa" w:w="80"/>
              <w:right w:type="dxa" w:w="120"/>
            </w:tcMar>
          </w:tcPr>
          <w:p>
            <w:r>
              <w:rPr>
                <w:b w:val="false"/>
                <w:bCs w:val="false"/>
              </w:rPr>
              <w:t xml:space="preserve">No</w:t>
            </w:r>
          </w:p>
        </w:tc>
        <w:tc>
          <w:tcPr>
            <w:tcW w:type="dxa" w:w="2800"/>
            <w:shd w:fill="EEF3F8" w:color="auto" w:val="clear"/>
            <w:tcMar>
              <w:top w:type="dxa" w:w="80"/>
              <w:left w:type="dxa" w:w="120"/>
              <w:bottom w:type="dxa" w:w="80"/>
              <w:right w:type="dxa" w:w="120"/>
            </w:tcMar>
          </w:tcPr>
          <w:p>
            <w:r>
              <w:rPr>
                <w:b w:val="false"/>
                <w:bCs w:val="false"/>
              </w:rPr>
              <w:t xml:space="preserve">Possible</w:t>
            </w:r>
          </w:p>
        </w:tc>
      </w:tr>
      <w:tr>
        <w:tc>
          <w:tcPr>
            <w:tcW w:type="dxa" w:w="1826"/>
            <w:tcMar>
              <w:top w:type="dxa" w:w="80"/>
              <w:left w:type="dxa" w:w="120"/>
              <w:bottom w:type="dxa" w:w="80"/>
              <w:right w:type="dxa" w:w="120"/>
            </w:tcMar>
          </w:tcPr>
          <w:p>
            <w:r>
              <w:rPr>
                <w:b w:val="false"/>
                <w:bCs w:val="false"/>
              </w:rPr>
              <w:t xml:space="preserve">Leverage</w:t>
            </w:r>
          </w:p>
        </w:tc>
        <w:tc>
          <w:tcPr>
            <w:tcW w:type="dxa" w:w="2400"/>
            <w:tcMar>
              <w:top w:type="dxa" w:w="80"/>
              <w:left w:type="dxa" w:w="120"/>
              <w:bottom w:type="dxa" w:w="80"/>
              <w:right w:type="dxa" w:w="120"/>
            </w:tcMar>
          </w:tcPr>
          <w:p>
            <w:r>
              <w:rPr>
                <w:b w:val="false"/>
                <w:bCs w:val="false"/>
              </w:rPr>
              <w:t xml:space="preserve">No</w:t>
            </w:r>
          </w:p>
        </w:tc>
        <w:tc>
          <w:tcPr>
            <w:tcW w:type="dxa" w:w="2000"/>
            <w:tcMar>
              <w:top w:type="dxa" w:w="80"/>
              <w:left w:type="dxa" w:w="120"/>
              <w:bottom w:type="dxa" w:w="80"/>
              <w:right w:type="dxa" w:w="120"/>
            </w:tcMar>
          </w:tcPr>
          <w:p>
            <w:r>
              <w:rPr>
                <w:b w:val="false"/>
                <w:bCs w:val="false"/>
              </w:rPr>
              <w:t xml:space="preserve">No</w:t>
            </w:r>
          </w:p>
        </w:tc>
        <w:tc>
          <w:tcPr>
            <w:tcW w:type="dxa" w:w="2800"/>
            <w:tcMar>
              <w:top w:type="dxa" w:w="80"/>
              <w:left w:type="dxa" w:w="120"/>
              <w:bottom w:type="dxa" w:w="80"/>
              <w:right w:type="dxa" w:w="120"/>
            </w:tcMar>
          </w:tcPr>
          <w:p>
            <w:r>
              <w:rPr>
                <w:b w:val="false"/>
                <w:bCs w:val="false"/>
              </w:rPr>
              <w:t xml:space="preserve">Yes, up to 5:1 (higher risk)</w:t>
            </w:r>
          </w:p>
        </w:tc>
      </w:tr>
      <w:tr>
        <w:tc>
          <w:tcPr>
            <w:tcW w:type="dxa" w:w="1826"/>
            <w:shd w:fill="EEF3F8" w:color="auto" w:val="clear"/>
            <w:tcMar>
              <w:top w:type="dxa" w:w="80"/>
              <w:left w:type="dxa" w:w="120"/>
              <w:bottom w:type="dxa" w:w="80"/>
              <w:right w:type="dxa" w:w="120"/>
            </w:tcMar>
          </w:tcPr>
          <w:p>
            <w:r>
              <w:rPr>
                <w:b w:val="false"/>
                <w:bCs w:val="false"/>
              </w:rPr>
              <w:t xml:space="preserve">Best for</w:t>
            </w:r>
          </w:p>
        </w:tc>
        <w:tc>
          <w:tcPr>
            <w:tcW w:type="dxa" w:w="2400"/>
            <w:shd w:fill="EEF3F8" w:color="auto" w:val="clear"/>
            <w:tcMar>
              <w:top w:type="dxa" w:w="80"/>
              <w:left w:type="dxa" w:w="120"/>
              <w:bottom w:type="dxa" w:w="80"/>
              <w:right w:type="dxa" w:w="120"/>
            </w:tcMar>
          </w:tcPr>
          <w:p>
            <w:r>
              <w:rPr>
                <w:b w:val="false"/>
                <w:bCs w:val="false"/>
              </w:rPr>
              <w:t xml:space="preserve">Long-term investing</w:t>
            </w:r>
          </w:p>
        </w:tc>
        <w:tc>
          <w:tcPr>
            <w:tcW w:type="dxa" w:w="2000"/>
            <w:shd w:fill="EEF3F8" w:color="auto" w:val="clear"/>
            <w:tcMar>
              <w:top w:type="dxa" w:w="80"/>
              <w:left w:type="dxa" w:w="120"/>
              <w:bottom w:type="dxa" w:w="80"/>
              <w:right w:type="dxa" w:w="120"/>
            </w:tcMar>
          </w:tcPr>
          <w:p>
            <w:r>
              <w:rPr>
                <w:b w:val="false"/>
                <w:bCs w:val="false"/>
              </w:rPr>
              <w:t xml:space="preserve">Simple, diversified investing</w:t>
            </w:r>
          </w:p>
        </w:tc>
        <w:tc>
          <w:tcPr>
            <w:tcW w:type="dxa" w:w="2800"/>
            <w:shd w:fill="EEF3F8" w:color="auto" w:val="clear"/>
            <w:tcMar>
              <w:top w:type="dxa" w:w="80"/>
              <w:left w:type="dxa" w:w="120"/>
              <w:bottom w:type="dxa" w:w="80"/>
              <w:right w:type="dxa" w:w="120"/>
            </w:tcMar>
          </w:tcPr>
          <w:p>
            <w:r>
              <w:rPr>
                <w:b w:val="false"/>
                <w:bCs w:val="false"/>
              </w:rPr>
              <w:t xml:space="preserve">Active, short-term trading</w:t>
            </w:r>
          </w:p>
        </w:tc>
      </w:tr>
    </w:tbl>
    <w:p>
      <w:pPr>
        <w:spacing w:after="120"/>
      </w:pPr>
      <w:r>
        <w:t xml:space="preserve">There is no single best option. If you want to own companies for the long term, buying shares or ETFs may suit you better. Trading with AI suits people who want to act on shorter price moves and accept higher risk.</w:t>
      </w:r>
    </w:p>
    <w:p>
      <w:pPr>
        <w:pBdr>
          <w:bottom w:val="single" w:color="1F3A5F" w:sz="6" w:space="4"/>
        </w:pBdr>
        <w:spacing w:after="120" w:before="360"/>
      </w:pPr>
      <w:r>
        <w:rPr>
          <w:b/>
          <w:bCs/>
          <w:caps/>
          <w:color w:val="1F3A5F"/>
          <w:sz w:val="20"/>
          <w:szCs w:val="20"/>
        </w:rPr>
        <w:t xml:space="preserve">Section 8 — Leverage (Trust)</w:t>
      </w:r>
    </w:p>
    <w:p>
      <w:pPr>
        <w:pStyle w:val="Heading2"/>
        <w:spacing w:after="120" w:before="240"/>
      </w:pPr>
      <w:r>
        <w:t xml:space="preserve">Share Leverage in Australia: ASIC Limits</w:t>
      </w:r>
    </w:p>
    <w:p>
      <w:pPr>
        <w:spacing w:after="120"/>
      </w:pPr>
      <w:r>
        <w:t xml:space="preserve">ASIC caps leverage on share CFDs for retail clients at </w:t>
      </w:r>
      <w:r>
        <w:rPr>
          <w:b/>
          <w:bCs/>
        </w:rPr>
        <w:t xml:space="preserve">5:1</w:t>
      </w:r>
      <w:r>
        <w:t xml:space="preserve">, and at </w:t>
      </w:r>
      <w:r>
        <w:rPr>
          <w:b/>
          <w:bCs/>
        </w:rPr>
        <w:t xml:space="preserve">20:1</w:t>
      </w:r>
      <w:r>
        <w:t xml:space="preserve"> on major indices like the ASX 200. Retail clients of ASIC-licensed brokers also get </w:t>
      </w:r>
      <w:r>
        <w:rPr>
          <w:b/>
          <w:bCs/>
        </w:rPr>
        <w:t xml:space="preserve">negative balance protection</w:t>
      </w:r>
      <w:r>
        <w:t xml:space="preserve">, so you can't lose more than the money in your account. Trades are placed through [broker name], AFSL [number].</w:t>
      </w:r>
    </w:p>
    <w:p>
      <w:pPr>
        <w:pBdr>
          <w:bottom w:val="single" w:color="1F3A5F" w:sz="6" w:space="4"/>
        </w:pBdr>
        <w:spacing w:after="120" w:before="360"/>
      </w:pPr>
      <w:r>
        <w:rPr>
          <w:b/>
          <w:bCs/>
          <w:caps/>
          <w:color w:val="1F3A5F"/>
          <w:sz w:val="20"/>
          <w:szCs w:val="20"/>
        </w:rPr>
        <w:t xml:space="preserve">Section 9 — Risks</w:t>
      </w:r>
    </w:p>
    <w:p>
      <w:pPr>
        <w:pStyle w:val="Heading2"/>
        <w:spacing w:after="120" w:before="240"/>
      </w:pPr>
      <w:r>
        <w:t xml:space="preserve">Risks of Trading Shares with AI (and How to Manage Them)</w:t>
      </w:r>
    </w:p>
    <w:p>
      <w:pPr>
        <w:pStyle w:val="ListParagraph"/>
        <w:numPr>
          <w:ilvl w:val="0"/>
          <w:numId w:val="2"/>
        </w:numPr>
        <w:spacing w:after="60"/>
      </w:pPr>
      <w:r>
        <w:rPr>
          <w:b/>
          <w:bCs/>
        </w:rPr>
        <w:t xml:space="preserve">Earnings surprises:</w:t>
      </w:r>
      <w:r>
        <w:t xml:space="preserve"> a share can gap 10% or more overnight. Use a stop-loss and smaller positions around reporting dates.</w:t>
      </w:r>
    </w:p>
    <w:p>
      <w:pPr>
        <w:pStyle w:val="ListParagraph"/>
        <w:numPr>
          <w:ilvl w:val="0"/>
          <w:numId w:val="2"/>
        </w:numPr>
        <w:spacing w:after="60"/>
      </w:pPr>
      <w:r>
        <w:rPr>
          <w:b/>
          <w:bCs/>
        </w:rPr>
        <w:t xml:space="preserve">Overnight gaps:</w:t>
      </w:r>
      <w:r>
        <w:t xml:space="preserve"> prices can open far from the last close. Consider your exposure before the close.</w:t>
      </w:r>
    </w:p>
    <w:p>
      <w:pPr>
        <w:pStyle w:val="ListParagraph"/>
        <w:numPr>
          <w:ilvl w:val="0"/>
          <w:numId w:val="2"/>
        </w:numPr>
        <w:spacing w:after="60"/>
      </w:pPr>
      <w:r>
        <w:rPr>
          <w:b/>
          <w:bCs/>
        </w:rPr>
        <w:t xml:space="preserve">Concentration risk:</w:t>
      </w:r>
      <w:r>
        <w:t xml:space="preserve"> don't put everything in one stock or sector.</w:t>
      </w:r>
    </w:p>
    <w:p>
      <w:pPr>
        <w:pStyle w:val="ListParagraph"/>
        <w:numPr>
          <w:ilvl w:val="0"/>
          <w:numId w:val="2"/>
        </w:numPr>
        <w:spacing w:after="60"/>
      </w:pPr>
      <w:r>
        <w:rPr>
          <w:b/>
          <w:bCs/>
        </w:rPr>
        <w:t xml:space="preserve">No AI is perfect:</w:t>
      </w:r>
      <w:r>
        <w:t xml:space="preserve"> past results don't guarantee future returns.</w:t>
      </w:r>
    </w:p>
    <w:p>
      <w:pPr>
        <w:pStyle w:val="ListParagraph"/>
        <w:numPr>
          <w:ilvl w:val="0"/>
          <w:numId w:val="2"/>
        </w:numPr>
        <w:spacing w:after="60"/>
      </w:pPr>
      <w:r>
        <w:rPr>
          <w:b/>
          <w:bCs/>
        </w:rPr>
        <w:t xml:space="preserve">Scams:</w:t>
      </w:r>
      <w:r>
        <w:t xml:space="preserve"> be wary of "AI stock pick" groups on WhatsApp or Telegram. ASIC warned in 2026 about pump-and-dump schemes. Learn more in our Zephgain Review (→ /zephgain-review).</w:t>
      </w:r>
    </w:p>
    <w:p>
      <w:pPr>
        <w:pBdr>
          <w:bottom w:val="single" w:color="1F3A5F" w:sz="6" w:space="4"/>
        </w:pBdr>
        <w:spacing w:after="120" w:before="360"/>
      </w:pPr>
      <w:r>
        <w:rPr>
          <w:b/>
          <w:bCs/>
          <w:caps/>
          <w:color w:val="1F3A5F"/>
          <w:sz w:val="20"/>
          <w:szCs w:val="20"/>
        </w:rPr>
        <w:t xml:space="preserve">Section 10 — Legal</w:t>
      </w:r>
    </w:p>
    <w:p>
      <w:pPr>
        <w:pStyle w:val="Heading2"/>
        <w:spacing w:after="120" w:before="240"/>
      </w:pPr>
      <w:r>
        <w:t xml:space="preserve">Is AI Stock Trading Legal in Australia?</w:t>
      </w:r>
    </w:p>
    <w:p>
      <w:pPr>
        <w:spacing w:after="120"/>
      </w:pPr>
      <w:r>
        <w:t xml:space="preserve">Yes. Using AI tools to trade shares is legal in Australia. Brokers offering share CFDs to Australians must hold an AFSL from ASIC. You can check any broker's licence on the ASIC Professional Register before you deposit.</w:t>
      </w:r>
    </w:p>
    <w:p>
      <w:pPr>
        <w:pBdr>
          <w:bottom w:val="single" w:color="1F3A5F" w:sz="6" w:space="4"/>
        </w:pBdr>
        <w:spacing w:after="120" w:before="360"/>
      </w:pPr>
      <w:r>
        <w:rPr>
          <w:b/>
          <w:bCs/>
          <w:caps/>
          <w:color w:val="1F3A5F"/>
          <w:sz w:val="20"/>
          <w:szCs w:val="20"/>
        </w:rPr>
        <w:t xml:space="preserve">Section 11 — Final CTA</w:t>
      </w:r>
    </w:p>
    <w:p>
      <w:pPr>
        <w:pStyle w:val="Heading2"/>
        <w:spacing w:after="120" w:before="240"/>
      </w:pPr>
      <w:r>
        <w:t xml:space="preserve">Start Trading Shares with AI in 3 Steps</w:t>
      </w:r>
    </w:p>
    <w:p>
      <w:pPr>
        <w:pStyle w:val="ListParagraph"/>
        <w:numPr>
          <w:ilvl w:val="0"/>
          <w:numId w:val="4"/>
        </w:numPr>
        <w:spacing w:after="60"/>
      </w:pPr>
      <w:r>
        <w:t xml:space="preserve">Register free in 2 minutes.</w:t>
      </w:r>
    </w:p>
    <w:p>
      <w:pPr>
        <w:pStyle w:val="ListParagraph"/>
        <w:numPr>
          <w:ilvl w:val="0"/>
          <w:numId w:val="4"/>
        </w:numPr>
        <w:spacing w:after="60"/>
      </w:pPr>
      <w:r>
        <w:t xml:space="preserve">Fund your account from AU$250.</w:t>
      </w:r>
    </w:p>
    <w:p>
      <w:pPr>
        <w:pStyle w:val="ListParagraph"/>
        <w:numPr>
          <w:ilvl w:val="0"/>
          <w:numId w:val="4"/>
        </w:numPr>
        <w:spacing w:after="60"/>
      </w:pPr>
      <w:r>
        <w:t xml:space="preserve">Pick your shares, set your limits and let the AI watch the market.</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Also explore: AI Crypto Trading (→ /ai-crypto-trading) | AI Forex Trading (→ /ai-forex-trading) | AI Gold Trading (→ /ai-gold-trading)</w:t>
      </w:r>
    </w:p>
    <w:p>
      <w:pPr>
        <w:pBdr>
          <w:bottom w:val="single" w:color="1F3A5F" w:sz="6" w:space="4"/>
        </w:pBdr>
        <w:spacing w:after="120" w:before="360"/>
      </w:pPr>
      <w:r>
        <w:rPr>
          <w:b/>
          <w:bCs/>
          <w:caps/>
          <w:color w:val="1F3A5F"/>
          <w:sz w:val="20"/>
          <w:szCs w:val="20"/>
        </w:rPr>
        <w:t xml:space="preserve">Section 12 — FAQ</w:t>
      </w:r>
    </w:p>
    <w:p>
      <w:pPr>
        <w:pStyle w:val="Heading2"/>
        <w:spacing w:after="120" w:before="240"/>
      </w:pPr>
      <w:r>
        <w:t xml:space="preserve">Frequently Asked Questions</w:t>
      </w:r>
    </w:p>
    <w:p>
      <w:pPr>
        <w:pStyle w:val="Heading3"/>
        <w:spacing w:after="120" w:before="240"/>
      </w:pPr>
      <w:r>
        <w:t xml:space="preserve">Can AI predict stock prices?</w:t>
      </w:r>
    </w:p>
    <w:p>
      <w:pPr>
        <w:spacing w:after="120"/>
      </w:pPr>
      <w:r>
        <w:t xml:space="preserve">No AI can predict prices perfectly. It can analyse far more data than a person and spot patterns faster, which helps with discipline and timing, but losses still happen.</w:t>
      </w:r>
    </w:p>
    <w:p>
      <w:pPr>
        <w:pStyle w:val="Heading3"/>
        <w:spacing w:after="120" w:before="240"/>
      </w:pPr>
      <w:r>
        <w:t xml:space="preserve">Can I trade US stocks from Australia with Zephgain?</w:t>
      </w:r>
    </w:p>
    <w:p>
      <w:pPr>
        <w:spacing w:after="120"/>
      </w:pPr>
      <w:r>
        <w:t xml:space="preserve">Yes. You can trade popular US shares like Apple and NVIDIA, and the AI can trade them overnight Australian time.</w:t>
      </w:r>
    </w:p>
    <w:p>
      <w:pPr>
        <w:pStyle w:val="Heading3"/>
        <w:spacing w:after="120" w:before="240"/>
      </w:pPr>
      <w:r>
        <w:t xml:space="preserve">Do I get dividends?</w:t>
      </w:r>
    </w:p>
    <w:p>
      <w:pPr>
        <w:spacing w:after="120"/>
      </w:pPr>
      <w:r>
        <w:t xml:space="preserve">If you trade share CFDs, you don't own the shares, so you don't receive dividends directly. Positions may get a cash dividend adjustment [confirm].</w:t>
      </w:r>
    </w:p>
    <w:p>
      <w:pPr>
        <w:pStyle w:val="Heading3"/>
        <w:spacing w:after="120" w:before="240"/>
      </w:pPr>
      <w:r>
        <w:t xml:space="preserve">How much do I need to start?</w:t>
      </w:r>
    </w:p>
    <w:p>
      <w:pPr>
        <w:spacing w:after="120"/>
      </w:pPr>
      <w:r>
        <w:t xml:space="preserve">The minimum deposit on Zephgain is AU$250.</w:t>
      </w:r>
    </w:p>
    <w:p>
      <w:pPr>
        <w:pStyle w:val="Heading3"/>
        <w:spacing w:after="120" w:before="240"/>
      </w:pPr>
      <w:r>
        <w:t xml:space="preserve">Is AI stock trading good for beginners?</w:t>
      </w:r>
    </w:p>
    <w:p>
      <w:pPr>
        <w:spacing w:after="120"/>
      </w:pPr>
      <w:r>
        <w:t xml:space="preserve">It can be, if you start small, use Signal mode to approve trades and always set a stop-loss.</w:t>
      </w:r>
    </w:p>
    <w:p>
      <w:pPr>
        <w:pStyle w:val="Heading3"/>
        <w:spacing w:after="120" w:before="240"/>
      </w:pPr>
      <w:r>
        <w:t xml:space="preserve">Do I pay tax on share trading profits in Australia?</w:t>
      </w:r>
    </w:p>
    <w:p>
      <w:pPr>
        <w:spacing w:after="120"/>
      </w:pPr>
      <w:r>
        <w:t xml:space="preserve">Generally, yes. Profits may be taxed as income or capital gains depending on your situation. Speak with a registered tax agent.</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Share CFDs are complex products and come with a high risk of losing money rapidly due to leverage. Most retail clients lose money trading CFDs. You do not own the underlying shares. You could lose some or all of your deposit. Past performance does not guarantee future results. Zephgain does not provide financial or tax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2026-10-06T11:46:11.694Z</dcterms:created>
  <dcterms:modified xsi:type="dcterms:W3CDTF">2026-10-06T11:46:11.695Z</dcterms:modified>
</cp:coreProperties>
</file>

<file path=docProps/custom.xml><?xml version="1.0" encoding="utf-8"?>
<Properties xmlns="http://schemas.openxmlformats.org/officeDocument/2006/custom-properties" xmlns:vt="http://schemas.openxmlformats.org/officeDocument/2006/docPropsVTypes"/>
</file>