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ТЕХНИЧЕСКИЙ ОТЧЕТ</w:t>
      </w:r>
    </w:p>
    <w:p>
      <w:r>
        <w:rPr>
          <w:b/>
        </w:rPr>
        <w:br/>
        <w:t>ПО РЕЗУЛЬТАТАМ ДИАГНОСТИЧЕСКОГО ОБСЛЕДОВАНИЯ</w:t>
      </w:r>
    </w:p>
    <w:p>
      <w:pPr>
        <w:jc w:val="center"/>
      </w:pPr>
      <w:r>
        <w:t>Опора антенная куста газовых скважин № 14 Ямсовейского НГКМ</w:t>
      </w:r>
    </w:p>
    <w:p>
      <w:pPr>
        <w:jc w:val="center"/>
      </w:pPr>
      <w:r>
        <w:t>№ ГМПД-ГДНад-ТСС-0598-ОПЩ-ДО-2025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Содержание формируется автоматически при открытии документа в MS Word.</w:t>
      </w:r>
    </w:p>
    <w:p>
      <w:r>
        <w:br w:type="page"/>
      </w:r>
    </w:p>
    <w:p>
      <w:pPr>
        <w:pStyle w:val="Heading1"/>
      </w:pPr>
      <w:r>
        <w:t>1. Основания для проведения работ</w:t>
      </w:r>
    </w:p>
    <w:p>
      <w:r>
        <w:t>Основанием является договор/поручение от 26.07.2025.</w:t>
      </w:r>
    </w:p>
    <w:p>
      <w:pPr>
        <w:pStyle w:val="Heading1"/>
      </w:pPr>
      <w:r>
        <w:t>2. Сроки проведения работ</w:t>
      </w:r>
    </w:p>
    <w:p>
      <w:r>
        <w:t>Работы выполнены в период с 26.07.2025 по 30.10.2025.</w:t>
      </w:r>
    </w:p>
    <w:p>
      <w:pPr>
        <w:pStyle w:val="Heading1"/>
      </w:pPr>
      <w:r>
        <w:t>Карточка объекта обследования</w:t>
      </w:r>
    </w:p>
    <w:p>
      <w:r>
        <w:t>Карточка объекта не заполнена.</w:t>
      </w:r>
    </w:p>
    <w:p>
      <w:pPr>
        <w:pStyle w:val="Heading1"/>
      </w:pPr>
      <w:r>
        <w:t>3. Перечень нормативных и правовых актов</w:t>
      </w:r>
    </w:p>
    <w:p>
      <w:r>
        <w:t>Список нормативных документов будет загружен из шаблона.</w:t>
      </w:r>
    </w:p>
    <w:p>
      <w:pPr>
        <w:pStyle w:val="Heading1"/>
      </w:pPr>
      <w:r>
        <w:t>4. Сведения о заказчике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Полное наименование</w:t>
            </w:r>
          </w:p>
        </w:tc>
        <w:tc>
          <w:tcPr>
            <w:tcW w:type="dxa" w:w="4320"/>
          </w:tcPr>
          <w:p>
            <w:r>
              <w:t>ООО «Газпром добыча Надым»</w:t>
            </w:r>
          </w:p>
        </w:tc>
      </w:tr>
      <w:tr>
        <w:tc>
          <w:tcPr>
            <w:tcW w:type="dxa" w:w="4320"/>
          </w:tcPr>
          <w:p>
            <w:r>
              <w:t>Руководитель</w:t>
            </w:r>
          </w:p>
        </w:tc>
        <w:tc>
          <w:tcPr>
            <w:tcW w:type="dxa" w:w="4320"/>
          </w:tcPr>
          <w:p>
            <w:r>
              <w:t>Генеральный директор: Щёголев Дмитрий Павлович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629736, Ямало-Ненецкий автономный округ, м.о. Надымский район, г. Надым, ул. Пионерская, стр. 14</w:t>
            </w:r>
          </w:p>
        </w:tc>
      </w:tr>
      <w:tr>
        <w:tc>
          <w:tcPr>
            <w:tcW w:type="dxa" w:w="4320"/>
          </w:tcPr>
          <w:p>
            <w:r>
              <w:t>Местонахождение</w:t>
            </w:r>
          </w:p>
        </w:tc>
        <w:tc>
          <w:tcPr>
            <w:tcW w:type="dxa" w:w="4320"/>
          </w:tcPr>
          <w:p>
            <w:r>
              <w:t>629736, Ямало-Ненецкий автономный округ, м.о. Надымский район, г. Надым, ул. Пионерская, стр. 14</w:t>
            </w:r>
          </w:p>
        </w:tc>
      </w:tr>
      <w:tr>
        <w:tc>
          <w:tcPr>
            <w:tcW w:type="dxa" w:w="4320"/>
          </w:tcPr>
          <w:p>
            <w:r>
              <w:t>Телефон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E-mail</w:t>
            </w:r>
          </w:p>
        </w:tc>
        <w:tc>
          <w:tcPr>
            <w:tcW w:type="dxa" w:w="4320"/>
          </w:tcPr>
          <w:p>
            <w:r>
              <w:t>manager@nadym-dobycha.gazprom.ru</w:t>
            </w:r>
          </w:p>
        </w:tc>
      </w:tr>
    </w:tbl>
    <w:p>
      <w:pPr>
        <w:pStyle w:val="Heading1"/>
      </w:pPr>
      <w:r>
        <w:t>5. Сведения об организации-исполнителе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Полное наименование</w:t>
            </w:r>
          </w:p>
        </w:tc>
        <w:tc>
          <w:tcPr>
            <w:tcW w:type="dxa" w:w="4320"/>
          </w:tcPr>
          <w:p>
            <w:r>
              <w:t>Общество с ограниченной ответственностью «ГАЗМАШПРОЕКТ-Диагностика»</w:t>
            </w:r>
          </w:p>
        </w:tc>
      </w:tr>
      <w:tr>
        <w:tc>
          <w:tcPr>
            <w:tcW w:type="dxa" w:w="4320"/>
          </w:tcPr>
          <w:p>
            <w:r>
              <w:t>Руководитель</w:t>
            </w:r>
          </w:p>
        </w:tc>
        <w:tc>
          <w:tcPr>
            <w:tcW w:type="dxa" w:w="4320"/>
          </w:tcPr>
          <w:p>
            <w:r>
              <w:t>Бутусов Дмитрий Станиславович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107014, г. Москва, ул. Большая Остроумовская, д. 12, офис 18</w:t>
            </w:r>
          </w:p>
        </w:tc>
      </w:tr>
      <w:tr>
        <w:tc>
          <w:tcPr>
            <w:tcW w:type="dxa" w:w="4320"/>
          </w:tcPr>
          <w:p>
            <w:r>
              <w:t>Почтовый адрес</w:t>
            </w:r>
          </w:p>
        </w:tc>
        <w:tc>
          <w:tcPr>
            <w:tcW w:type="dxa" w:w="4320"/>
          </w:tcPr>
          <w:p>
            <w:r>
              <w:t>107014, г. Москва, ул. Большая Остроумовская, д. 12, офис 18</w:t>
            </w:r>
          </w:p>
        </w:tc>
      </w:tr>
      <w:tr>
        <w:tc>
          <w:tcPr>
            <w:tcW w:type="dxa" w:w="4320"/>
          </w:tcPr>
          <w:p>
            <w:r>
              <w:t>Телефон</w:t>
            </w:r>
          </w:p>
        </w:tc>
        <w:tc>
          <w:tcPr>
            <w:tcW w:type="dxa" w:w="4320"/>
          </w:tcPr>
          <w:p>
            <w:r>
              <w:t>+7 (916) 638-60-44</w:t>
            </w:r>
          </w:p>
        </w:tc>
      </w:tr>
      <w:tr>
        <w:tc>
          <w:tcPr>
            <w:tcW w:type="dxa" w:w="4320"/>
          </w:tcPr>
          <w:p>
            <w:r>
              <w:t>E-mail</w:t>
            </w:r>
          </w:p>
        </w:tc>
        <w:tc>
          <w:tcPr>
            <w:tcW w:type="dxa" w:w="4320"/>
          </w:tcPr>
          <w:p>
            <w:r>
              <w:t>info@gmpd.ru</w:t>
            </w:r>
          </w:p>
        </w:tc>
      </w:tr>
      <w:tr>
        <w:tc>
          <w:tcPr>
            <w:tcW w:type="dxa" w:w="4320"/>
          </w:tcPr>
          <w:p>
            <w:r>
              <w:t>Аттестация</w:t>
            </w:r>
          </w:p>
        </w:tc>
        <w:tc>
          <w:tcPr>
            <w:tcW w:type="dxa" w:w="4320"/>
          </w:tcPr>
          <w:p>
            <w:r>
              <w:t>№ АЦЛНК-38-00028 действительно до 04.06.2027 г.</w:t>
            </w:r>
          </w:p>
        </w:tc>
      </w:tr>
      <w:tr>
        <w:tc>
          <w:tcPr>
            <w:tcW w:type="dxa" w:w="4320"/>
          </w:tcPr>
          <w:p>
            <w:r>
              <w:t>СРО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6. Сведения о специалистах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ФИО</w:t>
            </w:r>
          </w:p>
        </w:tc>
        <w:tc>
          <w:tcPr>
            <w:tcW w:type="dxa" w:w="2160"/>
          </w:tcPr>
          <w:p>
            <w:r>
              <w:t>Аттестации</w:t>
            </w:r>
          </w:p>
        </w:tc>
        <w:tc>
          <w:tcPr>
            <w:tcW w:type="dxa" w:w="2160"/>
          </w:tcPr>
          <w:p>
            <w:r>
              <w:t>Срок действия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итмтим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тмитт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7. Перечень приборов и оборудования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Наименование</w:t>
            </w:r>
          </w:p>
        </w:tc>
        <w:tc>
          <w:tcPr>
            <w:tcW w:type="dxa" w:w="1728"/>
          </w:tcPr>
          <w:p>
            <w:r>
              <w:t>Заводской №</w:t>
            </w:r>
          </w:p>
        </w:tc>
        <w:tc>
          <w:tcPr>
            <w:tcW w:type="dxa" w:w="1728"/>
          </w:tcPr>
          <w:p>
            <w:r>
              <w:t>Свидетельство</w:t>
            </w:r>
          </w:p>
        </w:tc>
        <w:tc>
          <w:tcPr>
            <w:tcW w:type="dxa" w:w="1728"/>
          </w:tcPr>
          <w:p>
            <w:r>
              <w:t>Действительно до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итмитм</w:t>
            </w:r>
          </w:p>
        </w:tc>
        <w:tc>
          <w:tcPr>
            <w:tcW w:type="dxa" w:w="1728"/>
          </w:tcPr>
          <w:p>
            <w:r>
              <w:t>митмит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26.11.2025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имтмит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26.11.2025</w:t>
            </w:r>
          </w:p>
        </w:tc>
      </w:tr>
    </w:tbl>
    <w:p>
      <w:pPr>
        <w:pStyle w:val="Heading1"/>
      </w:pPr>
      <w:r>
        <w:t>8. Сведения о документах</w:t>
      </w:r>
    </w:p>
    <w:p>
      <w:r>
        <w:t xml:space="preserve">1. имтмит — </w:t>
      </w:r>
    </w:p>
    <w:p>
      <w:pPr>
        <w:pStyle w:val="Heading1"/>
      </w:pPr>
      <w:r>
        <w:t>10. Нагрузки и условия эксплуатации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Снеговая нагрузка, кПа</w:t>
            </w:r>
          </w:p>
        </w:tc>
        <w:tc>
          <w:tcPr>
            <w:tcW w:type="dxa" w:w="4320"/>
          </w:tcPr>
          <w:p>
            <w:r>
              <w:t>10.00</w:t>
            </w:r>
          </w:p>
        </w:tc>
      </w:tr>
      <w:tr>
        <w:tc>
          <w:tcPr>
            <w:tcW w:type="dxa" w:w="4320"/>
          </w:tcPr>
          <w:p>
            <w:r>
              <w:t>Ветровое давление, кПа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Толщина гололёда, мм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Сейсмичность, баллы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Коэффициент надёжности</w:t>
            </w:r>
          </w:p>
        </w:tc>
        <w:tc>
          <w:tcPr>
            <w:tcW w:type="dxa" w:w="4320"/>
          </w:tcPr>
          <w:p>
            <w:r>
              <w:t>5.00</w:t>
            </w:r>
          </w:p>
        </w:tc>
      </w:tr>
    </w:tbl>
    <w:p>
      <w:pPr>
        <w:pStyle w:val="Heading2"/>
      </w:pPr>
      <w:r>
        <w:t>10.2. Климатические параметры</w:t>
      </w:r>
    </w:p>
    <w:p>
      <w:r>
        <w:t>Холодный период: тмитми</w:t>
      </w:r>
    </w:p>
    <w:p>
      <w:r>
        <w:t>Тёплый период: митмит</w:t>
      </w:r>
    </w:p>
    <w:p>
      <w:pPr>
        <w:pStyle w:val="Heading1"/>
      </w:pPr>
      <w:r>
        <w:t>9. Краткая характеристика объекта</w:t>
      </w:r>
    </w:p>
    <w:p>
      <w:r>
        <w:t>митмит</w:t>
      </w:r>
    </w:p>
    <w:p>
      <w:r>
        <w:t>митмит</w:t>
      </w:r>
    </w:p>
    <w:p>
      <w:r>
        <w:t>митмит</w:t>
      </w:r>
    </w:p>
    <w:p>
      <w:r>
        <w:t>митмит</w:t>
      </w:r>
    </w:p>
    <w:p>
      <w:r>
        <w:t>митмит</w:t>
      </w:r>
    </w:p>
    <w:p>
      <w:r>
        <w:t>митмит</w:t>
      </w:r>
    </w:p>
    <w:p>
      <w:r>
        <w:t>митмит</w:t>
      </w:r>
    </w:p>
    <w:p>
      <w:pPr>
        <w:pStyle w:val="Heading2"/>
      </w:pPr>
      <w:r>
        <w:t>9.1. Элементы решетки и поясов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Секция/отметка</w:t>
            </w:r>
          </w:p>
        </w:tc>
        <w:tc>
          <w:tcPr>
            <w:tcW w:type="dxa" w:w="1728"/>
          </w:tcPr>
          <w:p>
            <w:r>
              <w:t>Элемент</w:t>
            </w:r>
          </w:p>
        </w:tc>
        <w:tc>
          <w:tcPr>
            <w:tcW w:type="dxa" w:w="1728"/>
          </w:tcPr>
          <w:p>
            <w:r>
              <w:t>Материал</w:t>
            </w:r>
          </w:p>
        </w:tc>
        <w:tc>
          <w:tcPr>
            <w:tcW w:type="dxa" w:w="1728"/>
          </w:tcPr>
          <w:p>
            <w:r>
              <w:t>Параметры</w:t>
            </w:r>
          </w:p>
        </w:tc>
        <w:tc>
          <w:tcPr>
            <w:tcW w:type="dxa" w:w="1728"/>
          </w:tcPr>
          <w:p>
            <w:r>
              <w:t>Примечание</w:t>
            </w:r>
          </w:p>
        </w:tc>
      </w:tr>
      <w:tr>
        <w:tc>
          <w:tcPr>
            <w:tcW w:type="dxa" w:w="1728"/>
          </w:tcPr>
          <w:p>
            <w:r>
              <w:t>ми</w:t>
            </w:r>
          </w:p>
        </w:tc>
        <w:tc>
          <w:tcPr>
            <w:tcW w:type="dxa" w:w="1728"/>
          </w:tcPr>
          <w:p>
            <w:r>
              <w:t>имтмит</w:t>
            </w:r>
          </w:p>
        </w:tc>
        <w:tc>
          <w:tcPr>
            <w:tcW w:type="dxa" w:w="1728"/>
          </w:tcPr>
          <w:p>
            <w:r>
              <w:t>имтимт</w:t>
            </w:r>
          </w:p>
        </w:tc>
        <w:tc>
          <w:tcPr>
            <w:tcW w:type="dxa" w:w="1728"/>
          </w:tcPr>
          <w:p>
            <w:r>
              <w:t>имтмит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имтми</w:t>
            </w:r>
          </w:p>
        </w:tc>
        <w:tc>
          <w:tcPr>
            <w:tcW w:type="dxa" w:w="1728"/>
          </w:tcPr>
          <w:p>
            <w:r>
              <w:t>мититми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митмит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10. Результаты визуального обследования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Конструкция</w:t>
            </w:r>
          </w:p>
        </w:tc>
        <w:tc>
          <w:tcPr>
            <w:tcW w:type="dxa" w:w="4320"/>
          </w:tcPr>
          <w:p>
            <w:r>
              <w:t>Дефекты</w:t>
            </w:r>
          </w:p>
        </w:tc>
      </w:tr>
      <w:tr>
        <w:tc>
          <w:tcPr>
            <w:tcW w:type="dxa" w:w="4320"/>
          </w:tcPr>
          <w:p>
            <w:r>
              <w:t>имтимт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имтмит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11. Результаты инструментальных измерений</w:t>
      </w:r>
    </w:p>
    <w:p>
      <w:r>
        <w:t xml:space="preserve">имтмит (митимт) — </w:t>
      </w:r>
    </w:p>
    <w:p>
      <w:pPr>
        <w:pStyle w:val="Heading1"/>
      </w:pPr>
      <w:r>
        <w:t>12. Итоги анализа и расчёта остаточного ресурса</w:t>
      </w:r>
    </w:p>
    <w:p>
      <w:r>
        <w:t>Максимальное отклонение по результатам геодезического контроля: 2562.2 мм.</w:t>
      </w:r>
    </w:p>
    <w:p>
      <w:pPr>
        <w:pStyle w:val="Heading1"/>
      </w:pPr>
      <w:r>
        <w:t>13. Рекомендации</w:t>
      </w:r>
    </w:p>
    <w:p>
      <w:r>
        <w:t>1. имтмитим</w:t>
      </w:r>
    </w:p>
    <w:p>
      <w:pPr>
        <w:pStyle w:val="Heading1"/>
      </w:pPr>
      <w:r>
        <w:t>Приложения</w:t>
      </w:r>
    </w:p>
    <w:p>
      <w:r>
        <w:t>папрпаапр: апрапрап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