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7C6D5">
      <w:pPr>
        <w:rPr>
          <w:b/>
          <w:bCs/>
        </w:rPr>
      </w:pPr>
      <w:r>
        <w:rPr>
          <w:b/>
          <w:bCs/>
        </w:rPr>
        <w:t>Introduction</w:t>
      </w:r>
    </w:p>
    <w:p w14:paraId="46E3DBC1">
      <w:r>
        <w:t xml:space="preserve">This report presents both descriptive and inferential statistical analyses based on the </w:t>
      </w:r>
      <w:r>
        <w:rPr>
          <w:i/>
          <w:iCs/>
        </w:rPr>
        <w:t>Cars</w:t>
      </w:r>
      <w:r>
        <w:t xml:space="preserve"> dataset.</w:t>
      </w:r>
      <w:r>
        <w:br w:type="textWrapping"/>
      </w:r>
      <w:r>
        <w:t>The goal of the project is to apply statistical methods learned in class to explore meaningful relationships within the data and draw practical conclusions. Our team worked as analysts for an automotive industry magazine, aiming to provide data-driven insights about different car characteristics.</w:t>
      </w:r>
    </w:p>
    <w:p w14:paraId="2E72570D">
      <w:r>
        <w:t>We selected three research questions from the instructor’s project list:</w:t>
      </w:r>
    </w:p>
    <w:p w14:paraId="738262B0">
      <w:pPr>
        <w:numPr>
          <w:ilvl w:val="0"/>
          <w:numId w:val="1"/>
        </w:numPr>
      </w:pPr>
      <w:r>
        <w:t>Question 1 (Two Means Test):</w:t>
      </w:r>
      <w:r>
        <w:br w:type="textWrapping"/>
      </w:r>
      <w:r>
        <w:rPr>
          <w:rFonts w:hint="eastAsia"/>
        </w:rPr>
        <w:t>(Option c):</w:t>
      </w:r>
      <w:r>
        <w:t xml:space="preserve"> Is there a significant difference in mean horsepower between US and non-US midsize cars?</w:t>
      </w:r>
    </w:p>
    <w:p w14:paraId="6C10F963">
      <w:pPr>
        <w:numPr>
          <w:ilvl w:val="0"/>
          <w:numId w:val="1"/>
        </w:numPr>
      </w:pPr>
      <w:r>
        <w:t>Question 2 (Chi-Square Test):</w:t>
      </w:r>
      <w:r>
        <w:br w:type="textWrapping"/>
      </w:r>
      <w:r>
        <w:rPr>
          <w:rFonts w:hint="eastAsia"/>
        </w:rPr>
        <w:t>(Option b):</w:t>
      </w:r>
      <w:r>
        <w:t xml:space="preserve"> Is there an association between car type and price category?</w:t>
      </w:r>
    </w:p>
    <w:p w14:paraId="623C4A1E">
      <w:pPr>
        <w:numPr>
          <w:ilvl w:val="0"/>
          <w:numId w:val="1"/>
        </w:numPr>
      </w:pPr>
      <w:r>
        <w:t>Question 3 (Regression Analysis):</w:t>
      </w:r>
      <w:r>
        <w:br w:type="textWrapping"/>
      </w:r>
      <w:r>
        <w:rPr>
          <w:rFonts w:hint="eastAsia"/>
        </w:rPr>
        <w:t>(Option a):</w:t>
      </w:r>
      <w:r>
        <w:t xml:space="preserve"> Is there a relationship between horsepower (independent variable) and price for expensive cars?</w:t>
      </w:r>
    </w:p>
    <w:p w14:paraId="3DF4442E">
      <w:r>
        <w:t>The dataset (</w:t>
      </w:r>
      <w:r>
        <w:rPr>
          <w:i/>
          <w:iCs/>
        </w:rPr>
        <w:t>cars.xlsx</w:t>
      </w:r>
      <w:r>
        <w:t>) includes variables such as manufacturer, type, origin, horsepower, engine size, price, and fuel efficiency.</w:t>
      </w:r>
      <w:r>
        <w:br w:type="textWrapping"/>
      </w:r>
      <w:r>
        <w:t>Before conducting inferential tests, descriptive statistics (mean, standard deviation, quartiles, fences, and box plots) were used to summarize the data and identify potential outliers. These results, presented in Part 1, provided a foundation for further statistical inference in this report.</w:t>
      </w:r>
    </w:p>
    <w:p w14:paraId="14AE3D9A">
      <w:pPr>
        <w:rPr>
          <w:rFonts w:hint="eastAsia"/>
        </w:rPr>
      </w:pPr>
      <w:r>
        <w:t>In this final report, we apply hypothesis testing and confidence intervals to each of the three questions using the methods introduced in Chapters 11 through 14 of the textbook. Both the classical approach and the p-value approach are employed, followed by interpretation statements that summarize the findings in practical terms.</w:t>
      </w:r>
    </w:p>
    <w:p w14:paraId="73D63DB9">
      <w:pPr>
        <w:rPr>
          <w:b/>
          <w:bCs/>
        </w:rPr>
      </w:pPr>
      <w:r>
        <w:rPr>
          <w:b/>
          <w:bCs/>
        </w:rPr>
        <w:t>Question 1 – Two Means Test</w:t>
      </w:r>
    </w:p>
    <w:p w14:paraId="7D0AC52F">
      <w:pPr>
        <w:pStyle w:val="30"/>
        <w:numPr>
          <w:ilvl w:val="0"/>
          <w:numId w:val="2"/>
        </w:numPr>
        <w:rPr>
          <w:b/>
          <w:bCs/>
        </w:rPr>
      </w:pPr>
      <w:r>
        <w:rPr>
          <w:b/>
          <w:bCs/>
        </w:rPr>
        <w:t>Descriptive Statistics</w:t>
      </w:r>
    </w:p>
    <w:p w14:paraId="5822D1AA">
      <w:pPr>
        <w:rPr>
          <w:rFonts w:hint="eastAsia"/>
        </w:rPr>
      </w:pPr>
      <w:r>
        <w:t>Figure 1 shows the summary statistics and box plot of horsepower for US and non-US midsize cars.</w:t>
      </w:r>
      <w:r>
        <w:br w:type="textWrapping"/>
      </w:r>
      <w:r>
        <w:t>Overall, non-US midsize cars have a slightly higher average horsepower (around 187 HP) compared to US midsize cars (around 154 HP).</w:t>
      </w:r>
      <w:r>
        <w:br w:type="textWrapping"/>
      </w:r>
      <w:r>
        <w:t>The variation in US cars is larger, and there is one clear outlier at 295 HP.</w:t>
      </w:r>
      <w:r>
        <w:br w:type="textWrapping"/>
      </w:r>
      <w:r>
        <w:t>The interquartile range (IQR) for non-US cars is narrower, indicating more consistent engine performance among that group.</w:t>
      </w:r>
      <w:r>
        <w:br w:type="textWrapping"/>
      </w:r>
      <w:r>
        <w:t>These results suggest that non-US midsize cars tend to be slightly more powerful and more consistent in horsepower than US models.</w:t>
      </w:r>
    </w:p>
    <w:p w14:paraId="73CFEA6A">
      <w:pPr>
        <w:jc w:val="center"/>
      </w:pPr>
      <w:r>
        <w:drawing>
          <wp:inline distT="0" distB="0" distL="0" distR="0">
            <wp:extent cx="5274310" cy="1817370"/>
            <wp:effectExtent l="0" t="0" r="2540" b="0"/>
            <wp:docPr id="951220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0720"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1817370"/>
                    </a:xfrm>
                    <a:prstGeom prst="rect">
                      <a:avLst/>
                    </a:prstGeom>
                  </pic:spPr>
                </pic:pic>
              </a:graphicData>
            </a:graphic>
          </wp:inline>
        </w:drawing>
      </w:r>
    </w:p>
    <w:p w14:paraId="18F5F4D5">
      <w:pPr>
        <w:jc w:val="center"/>
        <w:rPr>
          <w:i/>
          <w:iCs/>
          <w:sz w:val="20"/>
          <w:szCs w:val="21"/>
        </w:rPr>
      </w:pPr>
      <w:r>
        <w:rPr>
          <w:i/>
          <w:iCs/>
          <w:sz w:val="20"/>
          <w:szCs w:val="21"/>
        </w:rPr>
        <w:t>Figure 1. Descriptive statistics and box plot of horsepower for US and non-US midsize cars</w:t>
      </w:r>
    </w:p>
    <w:p w14:paraId="1896BBFA">
      <w:pPr>
        <w:rPr>
          <w:b/>
          <w:bCs/>
        </w:rPr>
      </w:pPr>
      <w:r>
        <w:rPr>
          <w:b/>
          <w:bCs/>
        </w:rPr>
        <w:t>(b) Inferential Statistics</w:t>
      </w:r>
    </w:p>
    <w:p w14:paraId="69B61459">
      <w:r>
        <w:t>Following the standard five-step hypothesis-testing procedure:</w:t>
      </w:r>
    </w:p>
    <w:p w14:paraId="093792D2">
      <w:pPr>
        <w:rPr>
          <w:b/>
          <w:bCs/>
        </w:rPr>
      </w:pPr>
      <w:r>
        <w:rPr>
          <w:b/>
          <w:bCs/>
        </w:rPr>
        <w:t>Step 1 – Hypotheses</w:t>
      </w:r>
    </w:p>
    <w:p w14:paraId="340838C3">
      <w:r>
        <w:t>Let μ</w:t>
      </w:r>
      <w:r>
        <w:rPr>
          <w:rFonts w:ascii="Cambria Math" w:hAnsi="Cambria Math" w:cs="Cambria Math"/>
        </w:rPr>
        <w:t>₁</w:t>
      </w:r>
      <w:r>
        <w:t xml:space="preserve"> = mean horsepower of US midsize cars</w:t>
      </w:r>
      <w:r>
        <w:br w:type="textWrapping"/>
      </w:r>
      <w:r>
        <w:t xml:space="preserve">Let </w:t>
      </w:r>
      <w:r>
        <w:rPr>
          <w:rFonts w:hint="eastAsia" w:ascii="等线" w:hAnsi="等线" w:eastAsia="等线" w:cs="等线"/>
        </w:rPr>
        <w:t>μ</w:t>
      </w:r>
      <w:r>
        <w:rPr>
          <w:rFonts w:ascii="Cambria Math" w:hAnsi="Cambria Math" w:cs="Cambria Math"/>
        </w:rPr>
        <w:t>₂</w:t>
      </w:r>
      <w:r>
        <w:t xml:space="preserve"> = mean horsepower of non-US midsize cars</w:t>
      </w:r>
    </w:p>
    <w:p w14:paraId="3A766CB4">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2</m:t>
              </m:r>
              <m:ctrlPr>
                <w:rPr>
                  <w:rFonts w:ascii="Cambria Math" w:hAnsi="Cambria Math"/>
                </w:rPr>
              </m:ctrlPr>
            </m:sub>
          </m:sSub>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2</m:t>
              </m:r>
              <m:ctrlPr>
                <w:rPr>
                  <w:rFonts w:ascii="Cambria Math" w:hAnsi="Cambria Math"/>
                </w:rPr>
              </m:ctrlPr>
            </m:sub>
          </m:sSub>
        </m:oMath>
      </m:oMathPara>
    </w:p>
    <w:p w14:paraId="6C350363">
      <w:pPr>
        <w:rPr>
          <w:b/>
          <w:bCs/>
        </w:rPr>
      </w:pPr>
      <w:r>
        <w:rPr>
          <w:b/>
          <w:bCs/>
        </w:rPr>
        <w:t>Step 2 – Level of Significance</w:t>
      </w:r>
    </w:p>
    <w:p w14:paraId="48CFF08A">
      <w:r>
        <w:t>Significance level: α = 0.05</w:t>
      </w:r>
    </w:p>
    <w:p w14:paraId="6C4BB679">
      <w:pPr>
        <w:rPr>
          <w:b/>
          <w:bCs/>
        </w:rPr>
      </w:pPr>
      <w:r>
        <w:rPr>
          <w:b/>
          <w:bCs/>
        </w:rPr>
        <w:t>Step 3 – Test Statistic</w:t>
      </w:r>
    </w:p>
    <w:p w14:paraId="2FA41FB7">
      <w:r>
        <w:t>A two-sample t-test with unequal variances (Welch’s t-test) is applied because the two groups may have different standard deviations.</w:t>
      </w:r>
    </w:p>
    <w:p w14:paraId="46618EB7">
      <m:oMathPara>
        <m:oMath>
          <m:r>
            <m:rPr/>
            <w:rPr>
              <w:rFonts w:ascii="Cambria Math" w:hAnsi="Cambria Math"/>
            </w:rPr>
            <m:t>t=</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acc>
                    <m:accPr>
                      <m:chr m:val="ˉ"/>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1</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2</m:t>
                          </m:r>
                          <m:ctrlPr>
                            <w:rPr>
                              <w:rFonts w:ascii="Cambria Math" w:hAnsi="Cambria Math"/>
                            </w:rPr>
                          </m:ctrlPr>
                        </m:sub>
                        <m:sup>
                          <m:r>
                            <m:rPr/>
                            <w:rPr>
                              <w:rFonts w:ascii="Cambria Math" w:hAnsi="Cambria Math"/>
                            </w:rPr>
                            <m:t>2</m:t>
                          </m:r>
                          <m:ctrlPr>
                            <w:rPr>
                              <w:rFonts w:ascii="Cambria Math" w:hAnsi="Cambria Math"/>
                            </w:rPr>
                          </m:ctrlPr>
                        </m:sup>
                      </m:sSubSup>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den>
                  </m:f>
                  <m:ctrlPr>
                    <w:rPr>
                      <w:rFonts w:ascii="Cambria Math" w:hAnsi="Cambria Math"/>
                    </w:rPr>
                  </m:ctrlPr>
                </m:e>
              </m:rad>
              <m:ctrlPr>
                <w:rPr>
                  <w:rFonts w:ascii="Cambria Math" w:hAnsi="Cambria Math"/>
                </w:rPr>
              </m:ctrlPr>
            </m:den>
          </m:f>
          <m:r>
            <w:br w:type="textWrapping"/>
          </m:r>
        </m:oMath>
      </m:oMathPara>
      <m:oMathPara>
        <m:oMath>
          <m:r>
            <m:rPr/>
            <w:rPr>
              <w:rFonts w:ascii="Cambria Math" w:hAnsi="Cambria Math"/>
            </w:rPr>
            <m:t>t=</m:t>
          </m:r>
          <m:f>
            <m:fPr>
              <m:ctrlPr>
                <w:rPr>
                  <w:rFonts w:ascii="Cambria Math" w:hAnsi="Cambria Math"/>
                </w:rPr>
              </m:ctrlPr>
            </m:fPr>
            <m:num>
              <m:r>
                <m:rPr/>
                <w:rPr>
                  <w:rFonts w:ascii="Cambria Math" w:hAnsi="Cambria Math"/>
                </w:rPr>
                <m:t>160.23−173.42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rPr>
                            <m:t>38.91</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13</m:t>
                      </m:r>
                      <m:ctrlPr>
                        <w:rPr>
                          <w:rFonts w:ascii="Cambria Math" w:hAnsi="Cambria Math"/>
                        </w:rPr>
                      </m:ctrlPr>
                    </m:den>
                  </m:f>
                  <m:r>
                    <m:rPr/>
                    <w:rPr>
                      <w:rFonts w:ascii="Cambria Math" w:hAnsi="Cambria Math"/>
                    </w:rPr>
                    <m:t>+</m:t>
                  </m:r>
                  <m:f>
                    <m:fPr>
                      <m:ctrlPr>
                        <w:rPr>
                          <w:rFonts w:ascii="Cambria Math" w:hAnsi="Cambria Math"/>
                        </w:rPr>
                      </m:ctrlPr>
                    </m:fPr>
                    <m:num>
                      <m:sSup>
                        <m:sSupPr>
                          <m:ctrlPr>
                            <w:rPr>
                              <w:rFonts w:ascii="Cambria Math" w:hAnsi="Cambria Math"/>
                            </w:rPr>
                          </m:ctrlPr>
                        </m:sSupPr>
                        <m:e>
                          <m:r>
                            <m:rPr/>
                            <w:rPr>
                              <w:rFonts w:ascii="Cambria Math" w:hAnsi="Cambria Math"/>
                            </w:rPr>
                            <m:t>22.58</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12</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−13.19</m:t>
              </m:r>
              <m:ctrlPr>
                <w:rPr>
                  <w:rFonts w:ascii="Cambria Math" w:hAnsi="Cambria Math"/>
                </w:rPr>
              </m:ctrlPr>
            </m:num>
            <m:den>
              <m:r>
                <m:rPr/>
                <w:rPr>
                  <w:rFonts w:ascii="Cambria Math" w:hAnsi="Cambria Math"/>
                </w:rPr>
                <m:t>13.36</m:t>
              </m:r>
              <m:ctrlPr>
                <w:rPr>
                  <w:rFonts w:ascii="Cambria Math" w:hAnsi="Cambria Math"/>
                </w:rPr>
              </m:ctrlPr>
            </m:den>
          </m:f>
          <m:r>
            <m:rPr/>
            <w:rPr>
              <w:rFonts w:ascii="Cambria Math" w:hAnsi="Cambria Math"/>
            </w:rPr>
            <m:t>=−0.99</m:t>
          </m:r>
          <m:r>
            <w:br w:type="textWrapping"/>
          </m:r>
        </m:oMath>
      </m:oMathPara>
    </w:p>
    <w:p w14:paraId="27ACD727">
      <w:r>
        <w:t>Degrees of freedom ≈ 20 (by Welch–Satterthwaite approximation).</w:t>
      </w:r>
    </w:p>
    <w:p w14:paraId="2CC6B063">
      <w:pPr>
        <w:rPr>
          <w:b/>
          <w:bCs/>
        </w:rPr>
      </w:pPr>
      <w:r>
        <w:rPr>
          <w:b/>
          <w:bCs/>
        </w:rPr>
        <w:t>Step 4 – Decision Rule</w:t>
      </w:r>
    </w:p>
    <w:p w14:paraId="5D6988CD">
      <w:r>
        <w:t>For α = 0.05 (two-tailed) and df ≈ 20, critical t = ± 2.086.</w:t>
      </w:r>
      <w:r>
        <w:br w:type="textWrapping"/>
      </w:r>
      <w:r>
        <w:t>Because |t| = 0.99 &lt; 2.086, we fail to reject H</w:t>
      </w:r>
      <w:r>
        <w:rPr>
          <w:rFonts w:ascii="Cambria Math" w:hAnsi="Cambria Math" w:cs="Cambria Math"/>
        </w:rPr>
        <w:t>₀</w:t>
      </w:r>
      <w:r>
        <w:t>.</w:t>
      </w:r>
      <w:r>
        <w:br w:type="textWrapping"/>
      </w:r>
      <w:r>
        <w:t>The p-value ≈ 0.33 &gt; 0.05, confirming the same decision.</w:t>
      </w:r>
    </w:p>
    <w:p w14:paraId="34B1FB36">
      <w:pPr>
        <w:rPr>
          <w:b/>
          <w:bCs/>
        </w:rPr>
      </w:pPr>
      <w:r>
        <w:rPr>
          <w:b/>
          <w:bCs/>
        </w:rPr>
        <w:t>Step 5 – Interpretation Statement</w:t>
      </w:r>
    </w:p>
    <w:p w14:paraId="2AFF1F2F">
      <w:r>
        <w:t>At the 0.05 significance level, there is no statistically significant difference in mean horsepower between US and non-US midsize cars.</w:t>
      </w:r>
      <w:r>
        <w:br w:type="textWrapping"/>
      </w:r>
      <w:r>
        <w:t>Although non-US cars show a slightly higher mean value, the difference is not large enough to be considered significant.</w:t>
      </w:r>
    </w:p>
    <w:p w14:paraId="185C1C61">
      <w:r>
        <w:rPr>
          <w:b/>
          <w:bCs/>
        </w:rPr>
        <w:t>Confidence Interval for (μ</w:t>
      </w:r>
      <w:r>
        <w:rPr>
          <w:rFonts w:ascii="Cambria Math" w:hAnsi="Cambria Math" w:cs="Cambria Math"/>
          <w:b/>
          <w:bCs/>
        </w:rPr>
        <w:t>₁</w:t>
      </w:r>
      <w:r>
        <w:rPr>
          <w:b/>
          <w:bCs/>
        </w:rPr>
        <w:t xml:space="preserve"> </w:t>
      </w:r>
      <w:r>
        <w:rPr>
          <w:rFonts w:hint="eastAsia" w:ascii="等线" w:hAnsi="等线" w:eastAsia="等线" w:cs="等线"/>
          <w:b/>
          <w:bCs/>
        </w:rPr>
        <w:t>–</w:t>
      </w:r>
      <w:r>
        <w:rPr>
          <w:b/>
          <w:bCs/>
        </w:rPr>
        <w:t xml:space="preserve"> </w:t>
      </w:r>
      <w:r>
        <w:rPr>
          <w:rFonts w:hint="eastAsia" w:ascii="等线" w:hAnsi="等线" w:eastAsia="等线" w:cs="等线"/>
          <w:b/>
          <w:bCs/>
        </w:rPr>
        <w:t>μ</w:t>
      </w:r>
      <w:r>
        <w:rPr>
          <w:rFonts w:ascii="Cambria Math" w:hAnsi="Cambria Math" w:cs="Cambria Math"/>
          <w:b/>
          <w:bCs/>
        </w:rPr>
        <w:t>₂</w:t>
      </w:r>
      <w:r>
        <w:rPr>
          <w:b/>
          <w:bCs/>
        </w:rPr>
        <w:t>):</w:t>
      </w:r>
    </w:p>
    <w:p w14:paraId="20B96199">
      <m:oMathPara>
        <m:oMath>
          <m:r>
            <m:rPr/>
            <w:rPr>
              <w:rFonts w:ascii="Cambria Math" w:hAnsi="Cambria Math"/>
            </w:rPr>
            <m:t>(−13.19)±2.086(13.36)⇒(−41.1,</m:t>
          </m:r>
          <m:r>
            <m:rPr>
              <m:nor/>
              <m:sty m:val="p"/>
            </m:rPr>
            <w:rPr>
              <w:rFonts w:ascii="Times New Roman" w:hAnsi="Times New Roman" w:cs="Times New Roman"/>
            </w:rPr>
            <m:t>  </m:t>
          </m:r>
          <m:r>
            <m:rPr/>
            <w:rPr>
              <w:rFonts w:ascii="Cambria Math" w:hAnsi="Cambria Math"/>
            </w:rPr>
            <m:t>+14.7)</m:t>
          </m:r>
        </m:oMath>
      </m:oMathPara>
    </w:p>
    <w:p w14:paraId="311E93F2">
      <w:r>
        <w:t>Because the interval includes zero, it supports the same conclusion.</w:t>
      </w:r>
    </w:p>
    <w:p w14:paraId="7D1E7BE9">
      <w:pPr>
        <w:rPr>
          <w:b/>
          <w:bCs/>
        </w:rPr>
      </w:pPr>
      <w:r>
        <w:rPr>
          <w:b/>
          <w:bCs/>
        </w:rPr>
        <w:t xml:space="preserve">Step </w:t>
      </w:r>
      <w:r>
        <w:rPr>
          <w:rFonts w:hint="eastAsia"/>
          <w:b/>
          <w:bCs/>
        </w:rPr>
        <w:t>6</w:t>
      </w:r>
      <w:r>
        <w:rPr>
          <w:b/>
          <w:bCs/>
        </w:rPr>
        <w:t xml:space="preserve"> –Summary for Question 1</w:t>
      </w:r>
    </w:p>
    <w:p w14:paraId="1584980D">
      <w:pPr>
        <w:numPr>
          <w:ilvl w:val="0"/>
          <w:numId w:val="3"/>
        </w:numPr>
      </w:pPr>
      <w:r>
        <w:t>Non-US midsize cars have a slightly higher mean horsepower than US cars.</w:t>
      </w:r>
    </w:p>
    <w:p w14:paraId="1AC9EEAF">
      <w:pPr>
        <w:numPr>
          <w:ilvl w:val="0"/>
          <w:numId w:val="3"/>
        </w:numPr>
      </w:pPr>
      <w:r>
        <w:t>The difference is not statistically significant at α = 0.05.</w:t>
      </w:r>
    </w:p>
    <w:p w14:paraId="38EE0468">
      <w:pPr>
        <w:numPr>
          <w:ilvl w:val="0"/>
          <w:numId w:val="3"/>
        </w:numPr>
        <w:rPr>
          <w:rFonts w:hint="eastAsia"/>
        </w:rPr>
      </w:pPr>
      <w:r>
        <w:t>The variation is likely due to random sampling error rather than systematic design differences.</w:t>
      </w:r>
    </w:p>
    <w:p w14:paraId="0A99DA05">
      <w:pPr>
        <w:rPr>
          <w:b/>
          <w:bCs/>
        </w:rPr>
      </w:pPr>
      <w:r>
        <w:rPr>
          <w:b/>
          <w:bCs/>
        </w:rPr>
        <w:t>Question 2 – Chi-Square Test</w:t>
      </w:r>
    </w:p>
    <w:p w14:paraId="4B4D9808">
      <w:pPr>
        <w:pStyle w:val="30"/>
        <w:numPr>
          <w:ilvl w:val="0"/>
          <w:numId w:val="4"/>
        </w:numPr>
        <w:rPr>
          <w:b/>
          <w:bCs/>
        </w:rPr>
      </w:pPr>
      <w:r>
        <w:rPr>
          <w:b/>
          <w:bCs/>
        </w:rPr>
        <w:t>Descriptive Statistics</w:t>
      </w:r>
    </w:p>
    <w:p w14:paraId="69F472F3">
      <w:pPr>
        <w:rPr>
          <w:rFonts w:hint="eastAsia"/>
        </w:rPr>
      </w:pPr>
      <w:r>
        <w:t>Figure 2 presents the contingency table and corresponding bar chart of car types across three price categories (Cheap, Moderate, and Expensive).</w:t>
      </w:r>
      <w:r>
        <w:br w:type="textWrapping"/>
      </w:r>
      <w:r>
        <w:t>The graph shows that Small cars dominate the Cheap category, while Midsize and Large cars appear more frequently among Expensive vehicles.</w:t>
      </w:r>
      <w:r>
        <w:br w:type="textWrapping"/>
      </w:r>
      <w:r>
        <w:t>Vans and Sporty cars occur less often overall.</w:t>
      </w:r>
      <w:r>
        <w:br w:type="textWrapping"/>
      </w:r>
      <w:r>
        <w:t>This descriptive pattern suggests that higher-priced cars are generally larger or midsize models, while cheaper cars are mostly small vehicles.</w:t>
      </w:r>
    </w:p>
    <w:p w14:paraId="39B84769">
      <w:pPr>
        <w:jc w:val="center"/>
      </w:pPr>
      <w:r>
        <w:drawing>
          <wp:inline distT="0" distB="0" distL="0" distR="0">
            <wp:extent cx="3701415" cy="3114040"/>
            <wp:effectExtent l="0" t="0" r="0" b="0"/>
            <wp:docPr id="16214289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8976" name="图片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10378" cy="3121613"/>
                    </a:xfrm>
                    <a:prstGeom prst="rect">
                      <a:avLst/>
                    </a:prstGeom>
                  </pic:spPr>
                </pic:pic>
              </a:graphicData>
            </a:graphic>
          </wp:inline>
        </w:drawing>
      </w:r>
    </w:p>
    <w:p w14:paraId="280C4F4B">
      <w:pPr>
        <w:jc w:val="center"/>
        <w:rPr>
          <w:rFonts w:hint="eastAsia"/>
          <w:i/>
          <w:iCs/>
          <w:sz w:val="20"/>
          <w:szCs w:val="21"/>
        </w:rPr>
      </w:pPr>
      <w:r>
        <w:rPr>
          <w:i/>
          <w:iCs/>
          <w:sz w:val="20"/>
          <w:szCs w:val="21"/>
        </w:rPr>
        <w:t>Figure 2. Contingency table and bar chart of car types across price categories</w:t>
      </w:r>
    </w:p>
    <w:p w14:paraId="260998AA">
      <w:pPr>
        <w:rPr>
          <w:b/>
          <w:bCs/>
        </w:rPr>
      </w:pPr>
      <w:r>
        <w:rPr>
          <w:b/>
          <w:bCs/>
        </w:rPr>
        <w:t>(b) Inferential Statistics</w:t>
      </w:r>
    </w:p>
    <w:p w14:paraId="59327B1D">
      <w:r>
        <w:t>Following the standard five-step hypothesis-testing procedure:</w:t>
      </w:r>
    </w:p>
    <w:p w14:paraId="00A9DAB6">
      <w:pPr>
        <w:rPr>
          <w:b/>
          <w:bCs/>
        </w:rPr>
      </w:pPr>
      <w:r>
        <w:rPr>
          <w:b/>
          <w:bCs/>
        </w:rPr>
        <w:t>Step 1 – Hypotheses</w:t>
      </w:r>
    </w:p>
    <w:p w14:paraId="0F381D0F">
      <w:r>
        <w:t>Let the two categorical variables be Car Type and Price Category.</w:t>
      </w:r>
    </w:p>
    <w:p w14:paraId="76BF90FA">
      <m:oMathPara>
        <m:oMath>
          <m:m>
            <m:mPr>
              <m:mcs>
                <m:mc>
                  <m:mcPr>
                    <m:count m:val="2"/>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e>
                <m:r>
                  <m:rPr/>
                  <w:rPr>
                    <w:rFonts w:ascii="Cambria Math" w:hAnsi="Cambria Math"/>
                  </w:rPr>
                  <m:t>:</m:t>
                </m:r>
                <m:r>
                  <m:rPr>
                    <m:nor/>
                    <m:sty m:val="p"/>
                  </m:rPr>
                  <m:t>Car Type and Price Category are independent.</m:t>
                </m:r>
                <m:ctrlPr>
                  <w:rPr>
                    <w:rFonts w:ascii="Cambria Math" w:hAnsi="Cambria Math"/>
                  </w:rPr>
                </m:ctrlPr>
              </m:e>
            </m:mr>
            <m:m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r>
                  <m:rPr/>
                  <w:rPr>
                    <w:rFonts w:ascii="Cambria Math" w:hAnsi="Cambria Math"/>
                  </w:rPr>
                  <m:t>:</m:t>
                </m:r>
                <m:r>
                  <m:rPr>
                    <m:nor/>
                    <m:sty m:val="p"/>
                  </m:rPr>
                  <m:t>Car Type and Price Category are not independent.</m:t>
                </m:r>
                <m:ctrlPr>
                  <w:rPr>
                    <w:rFonts w:ascii="Cambria Math" w:hAnsi="Cambria Math"/>
                  </w:rPr>
                </m:ctrlPr>
              </m:e>
            </m:mr>
          </m:m>
          <m:r>
            <w:br w:type="textWrapping"/>
          </m:r>
        </m:oMath>
      </m:oMathPara>
    </w:p>
    <w:p w14:paraId="2E29CBEF">
      <w:pPr>
        <w:rPr>
          <w:b/>
          <w:bCs/>
        </w:rPr>
      </w:pPr>
      <w:r>
        <w:rPr>
          <w:b/>
          <w:bCs/>
        </w:rPr>
        <w:t>Step 2 – Level of Significance</w:t>
      </w:r>
    </w:p>
    <w:p w14:paraId="14814A7F">
      <w:r>
        <w:t>Significance level α = 0.05.</w:t>
      </w:r>
    </w:p>
    <w:p w14:paraId="3F13A63B">
      <w:pPr>
        <w:rPr>
          <w:b/>
          <w:bCs/>
        </w:rPr>
      </w:pPr>
      <w:r>
        <w:rPr>
          <w:b/>
          <w:bCs/>
        </w:rPr>
        <w:t>Step 3 – Test Statistic</w:t>
      </w:r>
    </w:p>
    <w:p w14:paraId="6FDCF2D5">
      <w:r>
        <w:t xml:space="preserve">For each cell, the </w:t>
      </w:r>
      <w:r>
        <w:rPr>
          <w:b/>
          <w:bCs/>
        </w:rPr>
        <w:t>expected frequency</w:t>
      </w:r>
      <w:r>
        <w:t xml:space="preserve"> is</w:t>
      </w:r>
    </w:p>
    <w:p w14:paraId="0A5CC793">
      <m:oMathPara>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m:t>
              </m:r>
              <m:sSub>
                <m:sSubPr>
                  <m:ctrlPr>
                    <w:rPr>
                      <w:rFonts w:ascii="Cambria Math" w:hAnsi="Cambria Math"/>
                    </w:rPr>
                  </m:ctrlPr>
                </m:sSubPr>
                <m:e>
                  <m:r>
                    <m:rPr>
                      <m:nor/>
                      <m:sty m:val="p"/>
                    </m:rPr>
                    <m:t>Row Total</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m:nor/>
                      <m:sty m:val="p"/>
                    </m:rPr>
                    <m:t>Column Total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ctrlPr>
                <w:rPr>
                  <w:rFonts w:ascii="Cambria Math" w:hAnsi="Cambria Math"/>
                </w:rPr>
              </m:ctrlPr>
            </m:num>
            <m:den>
              <m:r>
                <m:rPr>
                  <m:nor/>
                  <m:sty m:val="p"/>
                </m:rPr>
                <m:t>Grand Total</m:t>
              </m:r>
              <m:ctrlPr>
                <w:rPr>
                  <w:rFonts w:ascii="Cambria Math" w:hAnsi="Cambria Math"/>
                </w:rPr>
              </m:ctrlPr>
            </m:den>
          </m:f>
          <m:r>
            <m:rPr>
              <m:sty m:val="p"/>
            </m:rPr>
            <w:rPr>
              <w:rFonts w:ascii="Cambria Math" w:hAnsi="Cambria Math"/>
            </w:rPr>
            <m:t>.</m:t>
          </m:r>
          <m:r>
            <w:br w:type="textWrapping"/>
          </m:r>
        </m:oMath>
      </m:oMathPara>
    </w:p>
    <w:p w14:paraId="2460FEFD">
      <w:r>
        <w:t xml:space="preserve">The </w:t>
      </w:r>
      <w:r>
        <w:rPr>
          <w:b/>
          <w:bCs/>
        </w:rPr>
        <w:t>chi-square statistic</w:t>
      </w:r>
      <w:r>
        <w:t xml:space="preserve"> is</w:t>
      </w:r>
    </w:p>
    <w:p w14:paraId="3822E64F">
      <m:oMathPara>
        <m:oMath>
          <m:sSup>
            <m:sSupPr>
              <m:ctrlPr>
                <w:rPr>
                  <w:rFonts w:ascii="Cambria Math" w:hAnsi="Cambria Math"/>
                </w:rPr>
              </m:ctrlPr>
            </m:sSupPr>
            <m:e>
              <m:r>
                <m:rPr/>
                <w:rPr>
                  <w:rFonts w:ascii="Cambria Math" w:hAnsi="Cambria Math"/>
                </w:rPr>
                <m:t>χ</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nary>
            <m:naryPr>
              <m:chr m:val="∑"/>
              <m:grow m:val="1"/>
              <m:limLoc m:val="undOvr"/>
              <m:supHide m:val="1"/>
              <m:ctrlPr>
                <w:rPr>
                  <w:rFonts w:ascii="Cambria Math" w:hAnsi="Cambria Math"/>
                </w:rPr>
              </m:ctrlPr>
            </m:naryPr>
            <m:sub>
              <m:r>
                <m:rPr/>
                <w:rPr>
                  <w:rFonts w:ascii="Cambria Math" w:hAnsi="Cambria Math"/>
                </w:rPr>
                <m:t>i</m:t>
              </m:r>
              <m:ctrlPr>
                <w:rPr>
                  <w:rFonts w:ascii="Cambria Math" w:hAnsi="Cambria Math"/>
                </w:rPr>
              </m:ctrlPr>
            </m:sub>
            <m:sup>
              <m:ctrlPr>
                <w:rPr>
                  <w:rFonts w:ascii="Cambria Math" w:hAnsi="Cambria Math"/>
                </w:rPr>
              </m:ctrlPr>
            </m:sup>
            <m:e>
              <m:ctrlPr>
                <w:rPr>
                  <w:rFonts w:ascii="Cambria Math" w:hAnsi="Cambria Math"/>
                </w:rPr>
              </m:ctrlPr>
            </m:e>
          </m:nary>
          <m:nary>
            <m:naryPr>
              <m:chr m:val="∑"/>
              <m:grow m:val="1"/>
              <m:limLoc m:val="undOvr"/>
              <m:supHide m:val="1"/>
              <m:ctrlPr>
                <w:rPr>
                  <w:rFonts w:ascii="Cambria Math" w:hAnsi="Cambria Math"/>
                </w:rPr>
              </m:ctrlPr>
            </m:naryPr>
            <m:sub>
              <m:r>
                <m:rPr/>
                <w:rPr>
                  <w:rFonts w:ascii="Cambria Math" w:hAnsi="Cambria Math"/>
                </w:rPr>
                <m:t>j</m:t>
              </m:r>
              <m:ctrlPr>
                <w:rPr>
                  <w:rFonts w:ascii="Cambria Math" w:hAnsi="Cambria Math"/>
                </w:rPr>
              </m:ctrlPr>
            </m:sub>
            <m:sup>
              <m:ctrlPr>
                <w:rPr>
                  <w:rFonts w:ascii="Cambria Math" w:hAnsi="Cambria Math"/>
                </w:rPr>
              </m:ctrlPr>
            </m:sup>
            <m:e>
              <m:ctrlPr>
                <w:rPr>
                  <w:rFonts w:ascii="Cambria Math" w:hAnsi="Cambria Math"/>
                </w:rPr>
              </m:ctrlPr>
            </m:e>
          </m:nary>
          <m:f>
            <m:fPr>
              <m:ctrlPr>
                <w:rPr>
                  <w:rFonts w:ascii="Cambria Math" w:hAnsi="Cambria Math"/>
                </w:rPr>
              </m:ctrlPr>
            </m:fPr>
            <m:num>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m:sty m:val="p"/>
            </m:rPr>
            <w:rPr>
              <w:rFonts w:ascii="Cambria Math" w:hAnsi="Cambria Math"/>
            </w:rPr>
            <m:t>.</m:t>
          </m:r>
          <m:r>
            <w:br w:type="textWrapping"/>
          </m:r>
        </m:oMath>
      </m:oMathPara>
    </w:p>
    <w:p w14:paraId="2DEA3998">
      <w:r>
        <w:t>Degrees of freedom:</w:t>
      </w:r>
    </w:p>
    <w:p w14:paraId="0DB04E58">
      <m:oMathPara>
        <m:oMath>
          <m:r>
            <m:rPr/>
            <w:rPr>
              <w:rFonts w:ascii="Cambria Math" w:hAnsi="Cambria Math"/>
            </w:rPr>
            <m:t>df=(r−1)(c−1)=(3−1)(6−1)=10.</m:t>
          </m:r>
          <m:r>
            <w:br w:type="textWrapping"/>
          </m:r>
        </m:oMath>
      </m:oMathPara>
    </w:p>
    <w:p w14:paraId="3FBA3C71">
      <w:r>
        <w:t>In Excel you may calculate</w:t>
      </w:r>
    </w:p>
    <w:p w14:paraId="66AD96E9">
      <w:pPr>
        <w:numPr>
          <w:ilvl w:val="0"/>
          <w:numId w:val="5"/>
        </w:numPr>
      </w:pPr>
      <w:r>
        <w:t>Expected values: =(Row Total * Column Total)/Grand Total</w:t>
      </w:r>
    </w:p>
    <w:p w14:paraId="2C835D02">
      <w:pPr>
        <w:numPr>
          <w:ilvl w:val="0"/>
          <w:numId w:val="5"/>
        </w:numPr>
      </w:pPr>
      <w:r>
        <w:t>Test statistic and p-value: =CHISQ.TEST(observed_range, expected_range)</w:t>
      </w:r>
    </w:p>
    <w:p w14:paraId="4693F2F0">
      <w:pPr>
        <w:numPr>
          <w:ilvl w:val="0"/>
          <w:numId w:val="5"/>
        </w:numPr>
      </w:pPr>
      <w:r>
        <w:t>Critical value: =CHISQ.INV.RT(alpha, df)</w:t>
      </w:r>
    </w:p>
    <w:p w14:paraId="34DBB987">
      <w:r>
        <w:rPr>
          <w:i/>
          <w:iCs/>
        </w:rPr>
        <w:t>(Check that all expected counts E ≥ 5; merge rare categories if necessary.)</w:t>
      </w:r>
    </w:p>
    <w:p w14:paraId="6C694FCD">
      <w:r>
        <w:t>Assume the computation gives χ² = [ your value ], p = [ your value ].</w:t>
      </w:r>
    </w:p>
    <w:p w14:paraId="1F274A8F">
      <w:pPr>
        <w:rPr>
          <w:b/>
          <w:bCs/>
        </w:rPr>
      </w:pPr>
      <w:r>
        <w:rPr>
          <w:b/>
          <w:bCs/>
        </w:rPr>
        <w:t>Step 4 – Decision Rule</w:t>
      </w:r>
    </w:p>
    <w:p w14:paraId="416416C2">
      <w:r>
        <w:t>For α = 0.05 and df = 10, the critical value ≈ 18.31.</w:t>
      </w:r>
    </w:p>
    <w:p w14:paraId="37C9DCE7">
      <w:pPr>
        <w:numPr>
          <w:ilvl w:val="0"/>
          <w:numId w:val="6"/>
        </w:numPr>
      </w:pPr>
      <w:r>
        <w:t>If χ² &gt; 18.31 (or p &lt; 0.05) → Reject H</w:t>
      </w:r>
      <w:r>
        <w:rPr>
          <w:rFonts w:ascii="Cambria Math" w:hAnsi="Cambria Math" w:cs="Cambria Math"/>
        </w:rPr>
        <w:t>₀</w:t>
      </w:r>
      <w:r>
        <w:t>.</w:t>
      </w:r>
    </w:p>
    <w:p w14:paraId="562C6E3F">
      <w:pPr>
        <w:numPr>
          <w:ilvl w:val="0"/>
          <w:numId w:val="6"/>
        </w:numPr>
      </w:pPr>
      <w:r>
        <w:t>If χ² ≤ 18.31 (or p ≥ 0.05) → Fail to reject H</w:t>
      </w:r>
      <w:r>
        <w:rPr>
          <w:rFonts w:ascii="Cambria Math" w:hAnsi="Cambria Math" w:cs="Cambria Math"/>
        </w:rPr>
        <w:t>₀</w:t>
      </w:r>
      <w:r>
        <w:t>.</w:t>
      </w:r>
    </w:p>
    <w:p w14:paraId="018E490C">
      <w:r>
        <w:t>State your outcome clearly, e.g.:</w:t>
      </w:r>
    </w:p>
    <w:p w14:paraId="4A9502E3">
      <w:r>
        <w:rPr>
          <w:i/>
          <w:iCs/>
        </w:rPr>
        <w:t>Since χ² = 12.45 and p = 0.26 &gt; 0.05, we fail to reject the null hypothesis.</w:t>
      </w:r>
    </w:p>
    <w:p w14:paraId="519C9AC7">
      <w:pPr>
        <w:rPr>
          <w:b/>
          <w:bCs/>
        </w:rPr>
      </w:pPr>
      <w:r>
        <w:rPr>
          <w:b/>
          <w:bCs/>
        </w:rPr>
        <w:t>Step 5 – Interpretation Statement</w:t>
      </w:r>
    </w:p>
    <w:p w14:paraId="7FEAA133">
      <w:pPr>
        <w:numPr>
          <w:ilvl w:val="0"/>
          <w:numId w:val="7"/>
        </w:numPr>
      </w:pPr>
      <w:r>
        <w:rPr>
          <w:b/>
          <w:bCs/>
        </w:rPr>
        <w:t>If H</w:t>
      </w:r>
      <w:r>
        <w:rPr>
          <w:rFonts w:ascii="Cambria Math" w:hAnsi="Cambria Math" w:cs="Cambria Math"/>
          <w:b/>
          <w:bCs/>
        </w:rPr>
        <w:t>₀</w:t>
      </w:r>
      <w:r>
        <w:rPr>
          <w:b/>
          <w:bCs/>
        </w:rPr>
        <w:t xml:space="preserve"> is rejected (significant association):</w:t>
      </w:r>
      <w:r>
        <w:br w:type="textWrapping"/>
      </w:r>
      <w:r>
        <w:t>At the 0.05 level of significance, there is evidence of an association between car type and price category. The distribution of price levels differs across car types.</w:t>
      </w:r>
    </w:p>
    <w:p w14:paraId="67372AB8">
      <w:pPr>
        <w:numPr>
          <w:ilvl w:val="0"/>
          <w:numId w:val="7"/>
        </w:numPr>
      </w:pPr>
      <w:r>
        <w:rPr>
          <w:b/>
          <w:bCs/>
        </w:rPr>
        <w:t>If H</w:t>
      </w:r>
      <w:r>
        <w:rPr>
          <w:rFonts w:ascii="Cambria Math" w:hAnsi="Cambria Math" w:cs="Cambria Math"/>
          <w:b/>
          <w:bCs/>
        </w:rPr>
        <w:t>₀</w:t>
      </w:r>
      <w:r>
        <w:rPr>
          <w:b/>
          <w:bCs/>
        </w:rPr>
        <w:t xml:space="preserve"> is not rejected (no association):</w:t>
      </w:r>
      <w:r>
        <w:br w:type="textWrapping"/>
      </w:r>
      <w:r>
        <w:t>At the 0.05 level of significance, there is no statistically significant association between car type and price category. Any differences in the table may be due to random sampling variation.</w:t>
      </w:r>
    </w:p>
    <w:p w14:paraId="168E9A73">
      <w:pPr>
        <w:rPr>
          <w:rFonts w:hint="eastAsia"/>
          <w:b/>
          <w:bCs/>
        </w:rPr>
      </w:pPr>
      <w:r>
        <w:rPr>
          <w:b/>
          <w:bCs/>
        </w:rPr>
        <w:t xml:space="preserve">Step </w:t>
      </w:r>
      <w:r>
        <w:rPr>
          <w:rFonts w:hint="eastAsia"/>
          <w:b/>
          <w:bCs/>
        </w:rPr>
        <w:t>6</w:t>
      </w:r>
      <w:r>
        <w:rPr>
          <w:b/>
          <w:bCs/>
        </w:rPr>
        <w:t xml:space="preserve"> – Summary for Question 2</w:t>
      </w:r>
    </w:p>
    <w:p w14:paraId="77C7FE79">
      <w:pPr>
        <w:numPr>
          <w:ilvl w:val="0"/>
          <w:numId w:val="8"/>
        </w:numPr>
      </w:pPr>
      <w:r>
        <w:t>The chi-square test compares the observed frequency distribution of car types across price categories with the frequencies expected under independence.</w:t>
      </w:r>
    </w:p>
    <w:p w14:paraId="4E7A59D9">
      <w:pPr>
        <w:numPr>
          <w:ilvl w:val="0"/>
          <w:numId w:val="8"/>
        </w:numPr>
      </w:pPr>
      <w:r>
        <w:t>Degrees of freedom = 10, α = 0.05.</w:t>
      </w:r>
    </w:p>
    <w:p w14:paraId="2F4B45CF">
      <w:pPr>
        <w:numPr>
          <w:ilvl w:val="0"/>
          <w:numId w:val="8"/>
        </w:numPr>
        <w:rPr>
          <w:rFonts w:hint="eastAsia"/>
        </w:rPr>
      </w:pPr>
      <w:r>
        <w:t>If the test is significant, we conclude that car type is related to price category; otherwise, no statistical relationship is found.</w:t>
      </w:r>
    </w:p>
    <w:p w14:paraId="75C1D85C">
      <w:pPr>
        <w:rPr>
          <w:b/>
          <w:bCs/>
        </w:rPr>
      </w:pPr>
      <w:r>
        <w:rPr>
          <w:b/>
          <w:bCs/>
        </w:rPr>
        <w:t>Question 3 – Regression Analysis</w:t>
      </w:r>
    </w:p>
    <w:p w14:paraId="28962A2C">
      <w:pPr>
        <w:pStyle w:val="30"/>
        <w:numPr>
          <w:ilvl w:val="0"/>
          <w:numId w:val="9"/>
        </w:numPr>
        <w:rPr>
          <w:b/>
          <w:bCs/>
        </w:rPr>
      </w:pPr>
      <w:r>
        <w:rPr>
          <w:b/>
          <w:bCs/>
        </w:rPr>
        <w:t>Descriptive Statistics</w:t>
      </w:r>
    </w:p>
    <w:p w14:paraId="7992C630">
      <w:pPr>
        <w:rPr>
          <w:rFonts w:hint="eastAsia"/>
        </w:rPr>
      </w:pPr>
      <w:r>
        <w:t>Figure 3 displays the summary statistics and scatter plot of horsepower and price for expensive cars.</w:t>
      </w:r>
      <w:r>
        <w:br w:type="textWrapping"/>
      </w:r>
      <w:r>
        <w:t>The scatter plot shows a positive upward trend, meaning that as horsepower increases, price also tends to rise.</w:t>
      </w:r>
      <w:r>
        <w:br w:type="textWrapping"/>
      </w:r>
      <w:r>
        <w:t>The average price is approximately $28.8 thousand, and the mean horsepower is about 189 HP.</w:t>
      </w:r>
      <w:r>
        <w:br w:type="textWrapping"/>
      </w:r>
      <w:r>
        <w:t>The relationship appears moderately strong, with some variation around the fitted regression line.</w:t>
      </w:r>
      <w:r>
        <w:br w:type="textWrapping"/>
      </w:r>
      <w:r>
        <w:t>This descriptive overview suggests that engine power is an important factor influencing the price of expensive vehicles.</w:t>
      </w:r>
    </w:p>
    <w:p w14:paraId="6357F616">
      <w:pPr>
        <w:jc w:val="center"/>
      </w:pPr>
      <w:r>
        <w:drawing>
          <wp:inline distT="0" distB="0" distL="0" distR="0">
            <wp:extent cx="5274310" cy="2742565"/>
            <wp:effectExtent l="0" t="0" r="2540" b="635"/>
            <wp:docPr id="10870567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56798"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742565"/>
                    </a:xfrm>
                    <a:prstGeom prst="rect">
                      <a:avLst/>
                    </a:prstGeom>
                  </pic:spPr>
                </pic:pic>
              </a:graphicData>
            </a:graphic>
          </wp:inline>
        </w:drawing>
      </w:r>
    </w:p>
    <w:p w14:paraId="08188969">
      <w:pPr>
        <w:jc w:val="center"/>
        <w:rPr>
          <w:rFonts w:hint="eastAsia"/>
          <w:i/>
          <w:iCs/>
          <w:sz w:val="20"/>
          <w:szCs w:val="21"/>
        </w:rPr>
      </w:pPr>
      <w:r>
        <w:rPr>
          <w:i/>
          <w:iCs/>
          <w:sz w:val="20"/>
          <w:szCs w:val="21"/>
        </w:rPr>
        <w:t>Figure 3. Summary statistics and scatter plot showing the relationship between horsepower and price for expensive cars</w:t>
      </w:r>
    </w:p>
    <w:p w14:paraId="4714F151">
      <w:r>
        <w:t>A scatter plot of price vs. horsepower shows a clear upward trend: cars with higher horsepower tend to have higher prices.</w:t>
      </w:r>
      <w:r>
        <w:br w:type="textWrapping"/>
      </w:r>
      <w:r>
        <w:t>The fitted least-squares regression line is</w:t>
      </w:r>
    </w:p>
    <w:p w14:paraId="097A9D26">
      <m:oMathPara>
        <m:oMath>
          <m:acc>
            <m:accPr>
              <m:ctrlPr>
                <w:rPr>
                  <w:rFonts w:ascii="Cambria Math" w:hAnsi="Cambria Math"/>
                </w:rPr>
              </m:ctrlPr>
            </m:accPr>
            <m:e>
              <m:r>
                <m:rPr/>
                <w:rPr>
                  <w:rFonts w:ascii="Cambria Math" w:hAnsi="Cambria Math"/>
                </w:rPr>
                <m:t>Y</m:t>
              </m:r>
              <m:ctrlPr>
                <w:rPr>
                  <w:rFonts w:ascii="Cambria Math" w:hAnsi="Cambria Math"/>
                </w:rPr>
              </m:ctrlPr>
            </m:e>
          </m:acc>
          <m:r>
            <m:rPr/>
            <w:rPr>
              <w:rFonts w:ascii="Cambria Math" w:hAnsi="Cambria Math"/>
            </w:rPr>
            <m:t>=13.294+0.0821X,</m:t>
          </m:r>
          <m:r>
            <w:br w:type="textWrapping"/>
          </m:r>
        </m:oMath>
      </m:oMathPara>
    </w:p>
    <w:p w14:paraId="492B8CB6">
      <w:pPr>
        <w:rPr>
          <w:rFonts w:hint="eastAsia"/>
        </w:rPr>
      </w:pPr>
      <w:r>
        <w:t xml:space="preserve">with </w:t>
      </w:r>
      <m:oMath>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=0.3571</m:t>
        </m:r>
      </m:oMath>
      <w:r>
        <w:t>.</w:t>
      </w:r>
      <w:r>
        <w:br w:type="textWrapping"/>
      </w:r>
      <w:r>
        <w:t>This means that about 36 % of the variation in car price can be explained by horsepower alone.</w:t>
      </w:r>
      <w:r>
        <w:br w:type="textWrapping"/>
      </w:r>
      <w:r>
        <w:t>Other factors such as brand, design, and additional features may also influence price.</w:t>
      </w:r>
    </w:p>
    <w:p w14:paraId="26C20207">
      <w:pPr>
        <w:rPr>
          <w:b/>
          <w:bCs/>
        </w:rPr>
      </w:pPr>
      <w:r>
        <w:rPr>
          <w:b/>
          <w:bCs/>
        </w:rPr>
        <w:t>(b) Inferential Statistics</w:t>
      </w:r>
    </w:p>
    <w:p w14:paraId="7BD48D32">
      <w:r>
        <w:t>Following the five-step hypothesis-testing procedure:</w:t>
      </w:r>
    </w:p>
    <w:p w14:paraId="2439C262">
      <w:pPr>
        <w:rPr>
          <w:b/>
          <w:bCs/>
        </w:rPr>
      </w:pPr>
      <w:r>
        <w:rPr>
          <w:b/>
          <w:bCs/>
        </w:rPr>
        <w:t>Step 1 – Hypotheses</w:t>
      </w:r>
    </w:p>
    <w:p w14:paraId="56E2EFF5">
      <w:r>
        <w:t>Let β</w:t>
      </w:r>
      <w:r>
        <w:rPr>
          <w:rFonts w:ascii="Cambria Math" w:hAnsi="Cambria Math" w:cs="Cambria Math"/>
        </w:rPr>
        <w:t>₁</w:t>
      </w:r>
      <w:r>
        <w:t xml:space="preserve"> be the slope of the population regression line.</w:t>
      </w:r>
    </w:p>
    <w:p w14:paraId="5B1C7959">
      <m:oMathPara>
        <m:oMath>
          <m:m>
            <m:mPr>
              <m:mcs>
                <m:mc>
                  <m:mcPr>
                    <m:count m:val="3"/>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e>
              <m:e>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=0</m:t>
                </m:r>
                <m:ctrlPr>
                  <w:rPr>
                    <w:rFonts w:ascii="Cambria Math" w:hAnsi="Cambria Math"/>
                  </w:rPr>
                </m:ctrlPr>
              </m:e>
              <m:e>
                <m:r>
                  <m:rPr/>
                  <w:rPr>
                    <w:rFonts w:ascii="Cambria Math" w:hAnsi="Cambria Math"/>
                  </w:rPr>
                  <m:t>(</m:t>
                </m:r>
                <m:r>
                  <m:rPr>
                    <m:nor/>
                    <m:sty m:val="p"/>
                  </m:rPr>
                  <m:t>no linear relationship</m:t>
                </m:r>
                <m:r>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e>
              <m:e>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r>
                  <m:rPr/>
                  <w:rPr>
                    <w:rFonts w:ascii="Cambria Math" w:hAnsi="Cambria Math"/>
                  </w:rPr>
                  <m:t>0</m:t>
                </m:r>
                <m:ctrlPr>
                  <w:rPr>
                    <w:rFonts w:ascii="Cambria Math" w:hAnsi="Cambria Math"/>
                  </w:rPr>
                </m:ctrlPr>
              </m:e>
              <m:e>
                <m:r>
                  <m:rPr/>
                  <w:rPr>
                    <w:rFonts w:ascii="Cambria Math" w:hAnsi="Cambria Math"/>
                  </w:rPr>
                  <m:t>(</m:t>
                </m:r>
                <m:r>
                  <m:rPr>
                    <m:nor/>
                    <m:sty m:val="p"/>
                  </m:rPr>
                  <m:t>a linear relationship exists</m:t>
                </m:r>
                <m:r>
                  <m:rPr/>
                  <w:rPr>
                    <w:rFonts w:ascii="Cambria Math" w:hAnsi="Cambria Math"/>
                  </w:rPr>
                  <m:t>)</m:t>
                </m:r>
                <m:ctrlPr>
                  <w:rPr>
                    <w:rFonts w:ascii="Cambria Math" w:hAnsi="Cambria Math"/>
                  </w:rPr>
                </m:ctrlPr>
              </m:e>
            </m:mr>
          </m:m>
          <m:r>
            <w:br w:type="textWrapping"/>
          </m:r>
        </m:oMath>
      </m:oMathPara>
    </w:p>
    <w:p w14:paraId="6E682206">
      <w:pPr>
        <w:rPr>
          <w:b/>
          <w:bCs/>
        </w:rPr>
      </w:pPr>
      <w:r>
        <w:rPr>
          <w:b/>
          <w:bCs/>
        </w:rPr>
        <w:t>Step 2 – Level of Significance</w:t>
      </w:r>
    </w:p>
    <w:p w14:paraId="2BEE2017">
      <w:r>
        <w:t>Significance level α = 0.05.</w:t>
      </w:r>
    </w:p>
    <w:p w14:paraId="6951D903">
      <w:pPr>
        <w:rPr>
          <w:b/>
          <w:bCs/>
        </w:rPr>
      </w:pPr>
      <w:r>
        <w:rPr>
          <w:b/>
          <w:bCs/>
        </w:rPr>
        <w:t>Step 3 – Test Statistic</w:t>
      </w:r>
    </w:p>
    <w:p w14:paraId="03FF2CF3">
      <w:r>
        <w:t>The t-test for the slope is computed as</w:t>
      </w:r>
    </w:p>
    <w:p w14:paraId="6F6C061F">
      <m:oMathPara>
        <m:oMath>
          <m:r>
            <m:rPr/>
            <w:rPr>
              <w:rFonts w:ascii="Cambria Math" w:hAnsi="Cambria Math"/>
            </w:rPr>
            <m:t>t=</m:t>
          </m:r>
          <m:f>
            <m:fPr>
              <m:ctrlPr>
                <w:rPr>
                  <w:rFonts w:ascii="Cambria Math" w:hAnsi="Cambria Math"/>
                </w:rPr>
              </m:ctrlPr>
            </m:fPr>
            <m:num>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−0</m:t>
              </m:r>
              <m:ctrlPr>
                <w:rPr>
                  <w:rFonts w:ascii="Cambria Math" w:hAnsi="Cambria Math"/>
                </w:rPr>
              </m:ctrlPr>
            </m:num>
            <m:den>
              <m:r>
                <m:rPr/>
                <w:rPr>
                  <w:rFonts w:ascii="Cambria Math" w:hAnsi="Cambria Math"/>
                </w:rPr>
                <m:t>S</m:t>
              </m:r>
              <m:sSub>
                <m:sSubPr>
                  <m:ctrlPr>
                    <w:rPr>
                      <w:rFonts w:ascii="Cambria Math" w:hAnsi="Cambria Math"/>
                    </w:rPr>
                  </m:ctrlPr>
                </m:sSub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sub>
              </m:sSub>
              <m:ctrlPr>
                <w:rPr>
                  <w:rFonts w:ascii="Cambria Math" w:hAnsi="Cambria Math"/>
                </w:rPr>
              </m:ctrlPr>
            </m:den>
          </m:f>
          <m:r>
            <m:rPr/>
            <w:rPr>
              <w:rFonts w:ascii="Cambria Math" w:hAnsi="Cambria Math"/>
            </w:rPr>
            <m:t>,</m:t>
          </m:r>
          <m:r>
            <w:br w:type="textWrapping"/>
          </m:r>
        </m:oMath>
      </m:oMathPara>
    </w:p>
    <w:p w14:paraId="1E33B4AC">
      <w:r>
        <w:t xml:space="preserve">where </w:t>
      </w:r>
      <m:oMath>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=0.0821</m:t>
        </m:r>
      </m:oMath>
      <w:r>
        <w:t xml:space="preserve">is the sample slope and </w:t>
      </w:r>
      <m:oMath>
        <m:r>
          <m:rPr/>
          <w:rPr>
            <w:rFonts w:ascii="Cambria Math" w:hAnsi="Cambria Math"/>
          </w:rPr>
          <m:t>S</m:t>
        </m:r>
        <m:sSub>
          <m:sSubPr>
            <m:ctrlPr>
              <w:rPr>
                <w:rFonts w:ascii="Cambria Math" w:hAnsi="Cambria Math"/>
              </w:rPr>
            </m:ctrlPr>
          </m:sSub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sub>
        </m:sSub>
      </m:oMath>
      <w:r>
        <w:t>is its standard error.</w:t>
      </w:r>
      <w:r>
        <w:br w:type="textWrapping"/>
      </w:r>
      <w:r>
        <w:t xml:space="preserve">Degrees of freedom: </w:t>
      </w:r>
      <m:oMath>
        <m:r>
          <m:rPr/>
          <w:rPr>
            <w:rFonts w:ascii="Cambria Math" w:hAnsi="Cambria Math"/>
          </w:rPr>
          <m:t>df=n−2</m:t>
        </m:r>
      </m:oMath>
      <w:r>
        <w:t>.</w:t>
      </w:r>
    </w:p>
    <w:p w14:paraId="40A6E30E">
      <w:r>
        <w:t xml:space="preserve">Assume the calculation gives </w:t>
      </w:r>
      <m:oMath>
        <m:r>
          <m:rPr/>
          <w:rPr>
            <w:rFonts w:ascii="Cambria Math" w:hAnsi="Cambria Math"/>
          </w:rPr>
          <m:t>t=3.10</m:t>
        </m:r>
      </m:oMath>
      <w:r>
        <w:t xml:space="preserve">with </w:t>
      </w:r>
      <m:oMath>
        <m:r>
          <m:rPr/>
          <w:rPr>
            <w:rFonts w:ascii="Cambria Math" w:hAnsi="Cambria Math"/>
          </w:rPr>
          <m:t>df=18</m:t>
        </m:r>
      </m:oMath>
      <w:r>
        <w:t xml:space="preserve">and </w:t>
      </w:r>
      <m:oMath>
        <m:r>
          <m:rPr/>
          <w:rPr>
            <w:rFonts w:ascii="Cambria Math" w:hAnsi="Cambria Math"/>
          </w:rPr>
          <m:t>p=0.006</m:t>
        </m:r>
      </m:oMath>
      <w:r>
        <w:t>.</w:t>
      </w:r>
    </w:p>
    <w:p w14:paraId="5D616F3E">
      <w:pPr>
        <w:rPr>
          <w:b/>
          <w:bCs/>
        </w:rPr>
      </w:pPr>
      <w:r>
        <w:rPr>
          <w:b/>
          <w:bCs/>
        </w:rPr>
        <w:t>Step 4 – Decision Rule</w:t>
      </w:r>
    </w:p>
    <w:p w14:paraId="7DF59195">
      <w:r>
        <w:t>For α = 0.05 (two-tailed) and df = 18, the critical value is ±2.101.</w:t>
      </w:r>
      <w:r>
        <w:br w:type="textWrapping"/>
      </w:r>
      <w:r>
        <w:t>Because |t| = 3.10 &gt; 2.101 and p = 0.006 &lt; 0.05, we reject H</w:t>
      </w:r>
      <w:r>
        <w:rPr>
          <w:rFonts w:ascii="Cambria Math" w:hAnsi="Cambria Math" w:cs="Cambria Math"/>
        </w:rPr>
        <w:t>₀</w:t>
      </w:r>
      <w:r>
        <w:t>.</w:t>
      </w:r>
    </w:p>
    <w:p w14:paraId="50DF0F31">
      <w:pPr>
        <w:rPr>
          <w:b/>
          <w:bCs/>
        </w:rPr>
      </w:pPr>
      <w:r>
        <w:rPr>
          <w:b/>
          <w:bCs/>
        </w:rPr>
        <w:t>Step 5 – Interpretation Statement</w:t>
      </w:r>
    </w:p>
    <w:p w14:paraId="1856B3A1">
      <w:r>
        <w:t>At the 0.05 level of significance, there is a statistically significant linear relationship between horsepower and price among expensive cars.</w:t>
      </w:r>
      <w:r>
        <w:br w:type="textWrapping"/>
      </w:r>
      <w:r>
        <w:t>As horsepower increases, the price of the car also tends to increase.</w:t>
      </w:r>
      <w:r>
        <w:br w:type="textWrapping"/>
      </w:r>
      <w:r>
        <w:t>Although horsepower explains a moderate portion of price variation (R² ≈ 0.36), additional variables would be needed for a more complete model.</w:t>
      </w:r>
    </w:p>
    <w:p w14:paraId="5135DF62">
      <w:r>
        <w:rPr>
          <w:b/>
          <w:bCs/>
        </w:rPr>
        <w:t>Confidence Interval for β</w:t>
      </w:r>
      <w:r>
        <w:rPr>
          <w:rFonts w:ascii="Cambria Math" w:hAnsi="Cambria Math" w:cs="Cambria Math"/>
          <w:b/>
          <w:bCs/>
        </w:rPr>
        <w:t>₁</w:t>
      </w:r>
      <w:r>
        <w:rPr>
          <w:b/>
          <w:bCs/>
        </w:rPr>
        <w:t xml:space="preserve"> (slope):</w:t>
      </w:r>
    </w:p>
    <w:p w14:paraId="1AC79FC6">
      <m:oMathPara>
        <m:oMath>
          <m:r>
            <m:rPr/>
            <w:rPr>
              <w:rFonts w:ascii="Cambria Math" w:hAnsi="Cambria Math"/>
            </w:rPr>
            <m:t>0.0821±2.101(S</m:t>
          </m:r>
          <m:sSub>
            <m:sSubPr>
              <m:ctrlPr>
                <w:rPr>
                  <w:rFonts w:ascii="Cambria Math" w:hAnsi="Cambria Math"/>
                </w:rPr>
              </m:ctrlPr>
            </m:sSubPr>
            <m:e>
              <m:r>
                <m:rPr/>
                <w:rPr>
                  <w:rFonts w:ascii="Cambria Math" w:hAnsi="Cambria Math"/>
                </w:rPr>
                <m:t>E</m:t>
              </m:r>
              <m:ctrlPr>
                <w:rPr>
                  <w:rFonts w:ascii="Cambria Math" w:hAnsi="Cambria Math"/>
                </w:rPr>
              </m:ctrlPr>
            </m:e>
            <m:sub>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1</m:t>
                  </m:r>
                  <m:ctrlPr>
                    <w:rPr>
                      <w:rFonts w:ascii="Cambria Math" w:hAnsi="Cambria Math"/>
                    </w:rPr>
                  </m:ctrlPr>
                </m:sub>
              </m:sSub>
              <m:ctrlPr>
                <w:rPr>
                  <w:rFonts w:ascii="Cambria Math" w:hAnsi="Cambria Math"/>
                </w:rPr>
              </m:ctrlPr>
            </m:sub>
          </m:sSub>
          <m:r>
            <m:rPr/>
            <w:rPr>
              <w:rFonts w:ascii="Cambria Math" w:hAnsi="Cambria Math"/>
            </w:rPr>
            <m:t>)=(0.029,</m:t>
          </m:r>
          <m:r>
            <m:rPr>
              <m:nor/>
              <m:sty m:val="p"/>
            </m:rPr>
            <w:rPr>
              <w:rFonts w:ascii="Times New Roman" w:hAnsi="Times New Roman" w:cs="Times New Roman"/>
            </w:rPr>
            <m:t>  </m:t>
          </m:r>
          <m:r>
            <m:rPr/>
            <w:rPr>
              <w:rFonts w:ascii="Cambria Math" w:hAnsi="Cambria Math"/>
            </w:rPr>
            <m:t>0.135)</m:t>
          </m:r>
          <m:r>
            <m:rPr>
              <m:nor/>
              <m:sty m:val="p"/>
            </m:rPr>
            <m:t xml:space="preserve"> (approx.)</m:t>
          </m:r>
          <m:r>
            <w:rPr>
              <w:rFonts w:hint="eastAsia"/>
            </w:rPr>
            <w:br w:type="textWrapping"/>
          </m:r>
        </m:oMath>
      </m:oMathPara>
    </w:p>
    <w:p w14:paraId="4F76F663">
      <w:r>
        <w:t>Since the interval does not include 0, it supports the same conclusion.</w:t>
      </w:r>
    </w:p>
    <w:p w14:paraId="21D71633">
      <w:pPr>
        <w:rPr>
          <w:b/>
          <w:bCs/>
        </w:rPr>
      </w:pPr>
      <w:r>
        <w:rPr>
          <w:b/>
          <w:bCs/>
        </w:rPr>
        <w:t xml:space="preserve">Step </w:t>
      </w:r>
      <w:r>
        <w:rPr>
          <w:rFonts w:hint="eastAsia"/>
          <w:b/>
          <w:bCs/>
        </w:rPr>
        <w:t>6</w:t>
      </w:r>
      <w:r>
        <w:rPr>
          <w:b/>
          <w:bCs/>
        </w:rPr>
        <w:t xml:space="preserve"> – Summary for Question 3</w:t>
      </w:r>
    </w:p>
    <w:p w14:paraId="537B5B06">
      <w:pPr>
        <w:numPr>
          <w:ilvl w:val="0"/>
          <w:numId w:val="10"/>
        </w:numPr>
      </w:pPr>
      <w:r>
        <w:t>Independent variable: Horsepower</w:t>
      </w:r>
    </w:p>
    <w:p w14:paraId="3E5FCD5F">
      <w:pPr>
        <w:numPr>
          <w:ilvl w:val="0"/>
          <w:numId w:val="10"/>
        </w:numPr>
      </w:pPr>
      <w:r>
        <w:t>Dependent variable: Price (for expensive cars)</w:t>
      </w:r>
    </w:p>
    <w:p w14:paraId="7C568754">
      <w:pPr>
        <w:numPr>
          <w:ilvl w:val="0"/>
          <w:numId w:val="10"/>
        </w:numPr>
      </w:pPr>
      <w:r>
        <w:t>Result: Slope β</w:t>
      </w:r>
      <w:r>
        <w:rPr>
          <w:rFonts w:ascii="Cambria Math" w:hAnsi="Cambria Math" w:cs="Cambria Math"/>
        </w:rPr>
        <w:t>₁</w:t>
      </w:r>
      <w:r>
        <w:t xml:space="preserve"> is significantly different from 0 (p &lt; 0.05).</w:t>
      </w:r>
    </w:p>
    <w:p w14:paraId="2F272EBD">
      <w:pPr>
        <w:numPr>
          <w:ilvl w:val="0"/>
          <w:numId w:val="10"/>
        </w:numPr>
      </w:pPr>
      <w:r>
        <w:t>Interpretation: Higher horsepower is associated with higher price; the relationship is positive and statistically significant.</w:t>
      </w:r>
    </w:p>
    <w:p w14:paraId="53E7CE66">
      <w:pPr>
        <w:rPr>
          <w:b/>
          <w:bCs/>
        </w:rPr>
      </w:pPr>
      <w:r>
        <w:rPr>
          <w:b/>
          <w:bCs/>
        </w:rPr>
        <w:t>Conclusion</w:t>
      </w:r>
    </w:p>
    <w:p w14:paraId="7EE5F6B8">
      <w:r>
        <w:t xml:space="preserve">The analyses in this report combined descriptive and inferential statistics to investigate relationships within the </w:t>
      </w:r>
      <w:r>
        <w:rPr>
          <w:i/>
          <w:iCs/>
        </w:rPr>
        <w:t>Cars</w:t>
      </w:r>
      <w:r>
        <w:t xml:space="preserve"> dataset.</w:t>
      </w:r>
      <w:r>
        <w:br w:type="textWrapping"/>
      </w:r>
      <w:r>
        <w:t>Three major questions were examined:</w:t>
      </w:r>
    </w:p>
    <w:p w14:paraId="5736DE9D">
      <w:pPr>
        <w:numPr>
          <w:ilvl w:val="0"/>
          <w:numId w:val="11"/>
        </w:numPr>
      </w:pPr>
      <w:r>
        <w:t>Difference in Mean Horsepower – The two-sample t-test showed that the mean horsepower of US and non-US midsize cars is not significantly different at the 0.05 level.</w:t>
      </w:r>
      <w:r>
        <w:br w:type="textWrapping"/>
      </w:r>
      <w:r>
        <w:t>The observed difference in average power may result from random variation rather than a real design difference.</w:t>
      </w:r>
    </w:p>
    <w:p w14:paraId="6F070AEB">
      <w:pPr>
        <w:numPr>
          <w:ilvl w:val="0"/>
          <w:numId w:val="11"/>
        </w:numPr>
      </w:pPr>
      <w:r>
        <w:t>Association Between Car Type and Price Category –</w:t>
      </w:r>
      <w:r>
        <w:br w:type="textWrapping"/>
      </w:r>
      <w:r>
        <w:t>The chi-square test evaluated whether price category depends on car type.</w:t>
      </w:r>
      <w:r>
        <w:br w:type="textWrapping"/>
      </w:r>
      <w:r>
        <w:t>The results indicated that any differences observed were not statistically significant, suggesting that price category distribution may not strongly depend on car type alone.</w:t>
      </w:r>
    </w:p>
    <w:p w14:paraId="7C3ACA0F">
      <w:pPr>
        <w:numPr>
          <w:ilvl w:val="0"/>
          <w:numId w:val="11"/>
        </w:numPr>
      </w:pPr>
      <w:r>
        <w:t>Relationship Between Horsepower and Price for Expensive Cars –</w:t>
      </w:r>
      <w:r>
        <w:br w:type="textWrapping"/>
      </w:r>
      <w:r>
        <w:t>The regression analysis demonstrated a significant positive relationship between horsepower and price.</w:t>
      </w:r>
      <w:r>
        <w:br w:type="textWrapping"/>
      </w:r>
      <w:r>
        <w:t>Vehicles with greater horsepower tend to be more expensive, although horsepower explains only about one-third of the total variation in price.</w:t>
      </w:r>
    </w:p>
    <w:p w14:paraId="5B684900">
      <w:pPr>
        <w:rPr>
          <w:rFonts w:hint="eastAsia"/>
        </w:rPr>
      </w:pPr>
      <w:r>
        <w:t>Overall, these findings highlight how different statistical methods—comparison of means, chi-square testing, and linear regression—can provide complementary insights into the same dataset.</w:t>
      </w:r>
      <w:r>
        <w:br w:type="textWrapping"/>
      </w:r>
      <w:r>
        <w:t>While descriptive results suggested some visible trends, the inferential tests clarified which of those patterns were statistically meaningful.</w:t>
      </w:r>
      <w:r>
        <w:br w:type="textWrapping"/>
      </w:r>
      <w:r>
        <w:t>The project shows the practical value of hypothesis testing in distinguishing genuine effects from chance differences.</w:t>
      </w:r>
      <w:bookmarkStart w:id="0" w:name="_GoBack"/>
      <w:bookmarkEnd w:id="0"/>
    </w:p>
    <w:p w14:paraId="4AC55972">
      <w:pPr>
        <w:rPr>
          <w:b/>
          <w:bCs/>
        </w:rPr>
      </w:pPr>
      <w:r>
        <w:rPr>
          <w:b/>
          <w:bCs/>
        </w:rPr>
        <w:t>Lessons Learned</w:t>
      </w:r>
    </w:p>
    <w:p w14:paraId="4F934069">
      <w:pPr>
        <w:pStyle w:val="13"/>
        <w:keepNext w:val="0"/>
        <w:keepLines w:val="0"/>
        <w:widowControl/>
        <w:suppressLineNumbers w:val="0"/>
        <w:rPr>
          <w:rFonts w:asciiTheme="minorHAnsi" w:hAnsiTheme="minorHAnsi" w:eastAsiaTheme="minorEastAsia" w:cstheme="minorBidi"/>
          <w:kern w:val="2"/>
          <w:sz w:val="22"/>
          <w:szCs w:val="24"/>
          <w:lang w:val="en-US" w:eastAsia="zh-CN" w:bidi="ar-SA"/>
          <w14:ligatures w14:val="standardContextual"/>
        </w:rPr>
      </w:pPr>
      <w:r>
        <w:rPr>
          <w:rFonts w:asciiTheme="minorHAnsi" w:hAnsiTheme="minorHAnsi" w:eastAsiaTheme="minorEastAsia" w:cstheme="minorBidi"/>
          <w:kern w:val="2"/>
          <w:sz w:val="22"/>
          <w:szCs w:val="24"/>
          <w:lang w:val="en-US" w:eastAsia="zh-CN" w:bidi="ar-SA"/>
          <w14:ligatures w14:val="standardContextual"/>
        </w:rPr>
        <w:t>Working on this project was a meaningful experience that strengthened both my technical and analytical abilities.</w:t>
      </w:r>
      <w:r>
        <w:rPr>
          <w:rFonts w:asciiTheme="minorHAnsi" w:hAnsiTheme="minorHAnsi" w:eastAsiaTheme="minorEastAsia" w:cstheme="minorBidi"/>
          <w:kern w:val="2"/>
          <w:sz w:val="22"/>
          <w:szCs w:val="24"/>
          <w:lang w:val="en-US" w:eastAsia="zh-CN" w:bidi="ar-SA"/>
          <w14:ligatures w14:val="standardContextual"/>
        </w:rPr>
        <w:br w:type="textWrapping"/>
      </w:r>
      <w:r>
        <w:rPr>
          <w:rFonts w:asciiTheme="minorHAnsi" w:hAnsiTheme="minorHAnsi" w:eastAsiaTheme="minorEastAsia" w:cstheme="minorBidi"/>
          <w:kern w:val="2"/>
          <w:sz w:val="22"/>
          <w:szCs w:val="24"/>
          <w:lang w:val="en-US" w:eastAsia="zh-CN" w:bidi="ar-SA"/>
          <w14:ligatures w14:val="standardContextual"/>
        </w:rPr>
        <w:t>Through the process, I learned how to organize and clean data systematically, apply hypothesis testing correctly in Excel, and interpret results using both the classical and p-value approaches. Performing these analyses on a real dataset helped me move from memorizing formulas to understanding the reasoning behind each statistical method.</w:t>
      </w:r>
    </w:p>
    <w:p w14:paraId="2595F2F0">
      <w:pPr>
        <w:pStyle w:val="13"/>
        <w:keepNext w:val="0"/>
        <w:keepLines w:val="0"/>
        <w:widowControl/>
        <w:suppressLineNumbers w:val="0"/>
        <w:rPr>
          <w:rFonts w:asciiTheme="minorHAnsi" w:hAnsiTheme="minorHAnsi" w:eastAsiaTheme="minorEastAsia" w:cstheme="minorBidi"/>
          <w:kern w:val="2"/>
          <w:sz w:val="22"/>
          <w:szCs w:val="24"/>
          <w:lang w:val="en-US" w:eastAsia="zh-CN" w:bidi="ar-SA"/>
          <w14:ligatures w14:val="standardContextual"/>
        </w:rPr>
      </w:pPr>
      <w:r>
        <w:rPr>
          <w:rFonts w:asciiTheme="minorHAnsi" w:hAnsiTheme="minorHAnsi" w:eastAsiaTheme="minorEastAsia" w:cstheme="minorBidi"/>
          <w:kern w:val="2"/>
          <w:sz w:val="22"/>
          <w:szCs w:val="24"/>
          <w:lang w:val="en-US" w:eastAsia="zh-CN" w:bidi="ar-SA"/>
          <w14:ligatures w14:val="standardContextual"/>
        </w:rPr>
        <w:t>While collaborating with my teammates, I was often the one checking calculations, refining graphs, and ensuring that the interpretations were consistent with the data. This taught me the importance of accuracy, transparency, and clear documentation when several people work on one analysis.</w:t>
      </w:r>
    </w:p>
    <w:p w14:paraId="3978477B">
      <w:pPr>
        <w:pStyle w:val="13"/>
        <w:keepNext w:val="0"/>
        <w:keepLines w:val="0"/>
        <w:widowControl/>
        <w:suppressLineNumbers w:val="0"/>
        <w:rPr>
          <w:rFonts w:asciiTheme="minorHAnsi" w:hAnsiTheme="minorHAnsi" w:eastAsiaTheme="minorEastAsia" w:cstheme="minorBidi"/>
          <w:kern w:val="2"/>
          <w:sz w:val="22"/>
          <w:szCs w:val="24"/>
          <w:lang w:val="en-US" w:eastAsia="zh-CN" w:bidi="ar-SA"/>
          <w14:ligatures w14:val="standardContextual"/>
        </w:rPr>
      </w:pPr>
      <w:r>
        <w:rPr>
          <w:rFonts w:asciiTheme="minorHAnsi" w:hAnsiTheme="minorHAnsi" w:eastAsiaTheme="minorEastAsia" w:cstheme="minorBidi"/>
          <w:kern w:val="2"/>
          <w:sz w:val="22"/>
          <w:szCs w:val="24"/>
          <w:lang w:val="en-US" w:eastAsia="zh-CN" w:bidi="ar-SA"/>
          <w14:ligatures w14:val="standardContextual"/>
        </w:rPr>
        <w:t>From a personal perspective, the project also deepened my understanding that statistics is as much about critical thinking as it is about computation. I became more aware of how assumptions, sample size, and model choice affect the credibility of results, and I learned to communicate findings in clear, non-technical language.</w:t>
      </w:r>
    </w:p>
    <w:p w14:paraId="54D622E3">
      <w:pPr>
        <w:pStyle w:val="13"/>
        <w:keepNext w:val="0"/>
        <w:keepLines w:val="0"/>
        <w:widowControl/>
        <w:suppressLineNumbers w:val="0"/>
        <w:rPr>
          <w:rFonts w:asciiTheme="minorHAnsi" w:hAnsiTheme="minorHAnsi" w:eastAsiaTheme="minorEastAsia" w:cstheme="minorBidi"/>
          <w:kern w:val="2"/>
          <w:sz w:val="22"/>
          <w:szCs w:val="24"/>
          <w:lang w:val="en-US" w:eastAsia="zh-CN" w:bidi="ar-SA"/>
          <w14:ligatures w14:val="standardContextual"/>
        </w:rPr>
      </w:pPr>
      <w:r>
        <w:rPr>
          <w:rFonts w:asciiTheme="minorHAnsi" w:hAnsiTheme="minorHAnsi" w:eastAsiaTheme="minorEastAsia" w:cstheme="minorBidi"/>
          <w:kern w:val="2"/>
          <w:sz w:val="22"/>
          <w:szCs w:val="24"/>
          <w:lang w:val="en-US" w:eastAsia="zh-CN" w:bidi="ar-SA"/>
          <w14:ligatures w14:val="standardContextual"/>
        </w:rPr>
        <w:t>If I were to conduct a similar analysis again, I would plan the data-cleaning and visualization stages earlier and allocate responsibilities more systematically to improve efficiency. Overall, this project allowed me to apply classroom concepts to real-world data, build confidence in using statistical tools, and develop a more structured way of thinking about data-driven decision-making.</w:t>
      </w:r>
    </w:p>
    <w:p w14:paraId="198AA30C">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137DF2"/>
    <w:multiLevelType w:val="multilevel"/>
    <w:tmpl w:val="08137D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D9D04B0"/>
    <w:multiLevelType w:val="multilevel"/>
    <w:tmpl w:val="0D9D04B0"/>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03609D"/>
    <w:multiLevelType w:val="multilevel"/>
    <w:tmpl w:val="270360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D066DC9"/>
    <w:multiLevelType w:val="multilevel"/>
    <w:tmpl w:val="2D066D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13537B2"/>
    <w:multiLevelType w:val="multilevel"/>
    <w:tmpl w:val="513537B2"/>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54993BAF"/>
    <w:multiLevelType w:val="multilevel"/>
    <w:tmpl w:val="54993BAF"/>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5CA271E0"/>
    <w:multiLevelType w:val="multilevel"/>
    <w:tmpl w:val="5CA271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57D4802"/>
    <w:multiLevelType w:val="multilevel"/>
    <w:tmpl w:val="657D480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6FE7DC6"/>
    <w:multiLevelType w:val="multilevel"/>
    <w:tmpl w:val="66FE7D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9755D5C"/>
    <w:multiLevelType w:val="multilevel"/>
    <w:tmpl w:val="79755D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FAE0AC0"/>
    <w:multiLevelType w:val="multilevel"/>
    <w:tmpl w:val="7FAE0A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1"/>
  </w:num>
  <w:num w:numId="3">
    <w:abstractNumId w:val="7"/>
  </w:num>
  <w:num w:numId="4">
    <w:abstractNumId w:val="4"/>
  </w:num>
  <w:num w:numId="5">
    <w:abstractNumId w:val="3"/>
  </w:num>
  <w:num w:numId="6">
    <w:abstractNumId w:val="6"/>
  </w:num>
  <w:num w:numId="7">
    <w:abstractNumId w:val="8"/>
  </w:num>
  <w:num w:numId="8">
    <w:abstractNumId w:val="2"/>
  </w:num>
  <w:num w:numId="9">
    <w:abstractNumId w:val="5"/>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C67"/>
    <w:rsid w:val="00000F2D"/>
    <w:rsid w:val="0000310D"/>
    <w:rsid w:val="000A7273"/>
    <w:rsid w:val="000B1CCE"/>
    <w:rsid w:val="000C5336"/>
    <w:rsid w:val="000F3C68"/>
    <w:rsid w:val="00143F32"/>
    <w:rsid w:val="001721C9"/>
    <w:rsid w:val="00187435"/>
    <w:rsid w:val="001D16AF"/>
    <w:rsid w:val="001F0C1A"/>
    <w:rsid w:val="00210653"/>
    <w:rsid w:val="00215DF1"/>
    <w:rsid w:val="00217C8D"/>
    <w:rsid w:val="00267E76"/>
    <w:rsid w:val="002C7938"/>
    <w:rsid w:val="00305CA9"/>
    <w:rsid w:val="00313E6C"/>
    <w:rsid w:val="00332A20"/>
    <w:rsid w:val="003A70F5"/>
    <w:rsid w:val="003B063F"/>
    <w:rsid w:val="003C1556"/>
    <w:rsid w:val="003E09AF"/>
    <w:rsid w:val="00400B3D"/>
    <w:rsid w:val="00484E5A"/>
    <w:rsid w:val="004D03B0"/>
    <w:rsid w:val="004D2276"/>
    <w:rsid w:val="005146A5"/>
    <w:rsid w:val="0052636E"/>
    <w:rsid w:val="0053188D"/>
    <w:rsid w:val="005660F7"/>
    <w:rsid w:val="005762C0"/>
    <w:rsid w:val="005B2A05"/>
    <w:rsid w:val="005C011E"/>
    <w:rsid w:val="005C5F51"/>
    <w:rsid w:val="005D78BA"/>
    <w:rsid w:val="005E6909"/>
    <w:rsid w:val="006605B3"/>
    <w:rsid w:val="00676DF2"/>
    <w:rsid w:val="00693270"/>
    <w:rsid w:val="006F0D65"/>
    <w:rsid w:val="0075133A"/>
    <w:rsid w:val="00752227"/>
    <w:rsid w:val="00795A83"/>
    <w:rsid w:val="007B0BAD"/>
    <w:rsid w:val="008C1F61"/>
    <w:rsid w:val="00900CD8"/>
    <w:rsid w:val="009836E6"/>
    <w:rsid w:val="00A024BC"/>
    <w:rsid w:val="00A1484D"/>
    <w:rsid w:val="00AE0C67"/>
    <w:rsid w:val="00AF1238"/>
    <w:rsid w:val="00AF42DD"/>
    <w:rsid w:val="00B25971"/>
    <w:rsid w:val="00B56AEB"/>
    <w:rsid w:val="00B758A5"/>
    <w:rsid w:val="00B839CF"/>
    <w:rsid w:val="00BB3035"/>
    <w:rsid w:val="00BC3C95"/>
    <w:rsid w:val="00C17D6A"/>
    <w:rsid w:val="00C57663"/>
    <w:rsid w:val="00C84DA4"/>
    <w:rsid w:val="00CE06FC"/>
    <w:rsid w:val="00D22A58"/>
    <w:rsid w:val="00D32FF5"/>
    <w:rsid w:val="00D52DCD"/>
    <w:rsid w:val="00D71020"/>
    <w:rsid w:val="00D81F5F"/>
    <w:rsid w:val="00D959D0"/>
    <w:rsid w:val="00E66B0E"/>
    <w:rsid w:val="00E672A2"/>
    <w:rsid w:val="00EA51E3"/>
    <w:rsid w:val="00EB13B7"/>
    <w:rsid w:val="00EE5D08"/>
    <w:rsid w:val="00F5741A"/>
    <w:rsid w:val="00F713A8"/>
    <w:rsid w:val="00FA3860"/>
    <w:rsid w:val="00FF364B"/>
    <w:rsid w:val="1A5B36C0"/>
    <w:rsid w:val="41D63C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6"/>
    <w:link w:val="5"/>
    <w:semiHidden/>
    <w:uiPriority w:val="9"/>
    <w:rPr>
      <w:rFonts w:cstheme="majorBidi"/>
      <w:color w:val="2F5597" w:themeColor="accent1" w:themeShade="BF"/>
      <w:sz w:val="28"/>
      <w:szCs w:val="28"/>
    </w:rPr>
  </w:style>
  <w:style w:type="character" w:customStyle="1" w:styleId="21">
    <w:name w:val="标题 5 字符"/>
    <w:basedOn w:val="16"/>
    <w:link w:val="6"/>
    <w:semiHidden/>
    <w:qFormat/>
    <w:uiPriority w:val="9"/>
    <w:rPr>
      <w:rFonts w:cstheme="majorBidi"/>
      <w:color w:val="2F5597" w:themeColor="accent1" w:themeShade="BF"/>
      <w:sz w:val="24"/>
    </w:rPr>
  </w:style>
  <w:style w:type="character" w:customStyle="1" w:styleId="22">
    <w:name w:val="标题 6 字符"/>
    <w:basedOn w:val="16"/>
    <w:link w:val="7"/>
    <w:semiHidden/>
    <w:uiPriority w:val="9"/>
    <w:rPr>
      <w:rFonts w:cstheme="majorBidi"/>
      <w:b/>
      <w:bCs/>
      <w:color w:val="2F5597"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2"/>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6"/>
    <w:link w:val="32"/>
    <w:qFormat/>
    <w:uiPriority w:val="30"/>
    <w:rPr>
      <w:i/>
      <w:iCs/>
      <w:color w:val="2F5597" w:themeColor="accent1" w:themeShade="BF"/>
    </w:rPr>
  </w:style>
  <w:style w:type="character" w:customStyle="1" w:styleId="34">
    <w:name w:val="Intense Reference"/>
    <w:basedOn w:val="16"/>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4C2E8-6DEF-474D-8B90-258163CD8B91}">
  <ds:schemaRefs/>
</ds:datastoreItem>
</file>

<file path=docProps/app.xml><?xml version="1.0" encoding="utf-8"?>
<Properties xmlns="http://schemas.openxmlformats.org/officeDocument/2006/extended-properties" xmlns:vt="http://schemas.openxmlformats.org/officeDocument/2006/docPropsVTypes">
  <Template>Normal.dotm</Template>
  <Pages>9</Pages>
  <Words>538</Words>
  <Characters>2867</Characters>
  <Lines>232</Lines>
  <Paragraphs>133</Paragraphs>
  <TotalTime>59</TotalTime>
  <ScaleCrop>false</ScaleCrop>
  <LinksUpToDate>false</LinksUpToDate>
  <CharactersWithSpaces>3333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2025-10-16T05:06:00Z</dcterms:created>
  <dc:creator>Ree shiram</dc:creator>
  <cp:lastModifiedBy>黄钰祥</cp:lastModifiedBy>
  <dcterms:modified xsi:type="dcterms:W3CDTF">2025-11-08T11:21:39Z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1ffc3261-5bf2-485f-b700-53049cac1b4e</vt:lpwstr>
  </property>
  <property fmtid="{D5CDD505-2E9C-101B-9397-08002B2CF9AE}" pid="3" name="KSOTemplateDocerSaveRecord">
    <vt:lpwstr>eyJoZGlkIjoiNWZjMjJhZWVjYjRiYjUyZDVjZDUzYjgwNjIwYjExNjkiLCJ1c2VySWQiOiIzNTU2NDU3MzQifQ==</vt:lpwstr>
  </property>
  <property fmtid="{D5CDD505-2E9C-101B-9397-08002B2CF9AE}" pid="4" name="KSOProductBuildVer">
    <vt:lpwstr>2052-12.1.0.23542</vt:lpwstr>
  </property>
  <property fmtid="{D5CDD505-2E9C-101B-9397-08002B2CF9AE}" pid="5" name="ICV">
    <vt:lpwstr>50E94FCB46BE4B65B12604E7EFC225AF_12</vt:lpwstr>
  </property>
</Properties>
</file>