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0" w:type="dxa"/>
        <w:jc w:val="right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1400"/>
      </w:tblGrid>
      <w:tr>
        <w:trPr>
          <w:jc w:val="right"/>
        </w:trPr>
        <w:tc>
          <w:tcPr>
            <w:tcW w:w="1400" w:type="dxa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F-1.02</w:t>
            </w:r>
          </w:p>
        </w:tc>
      </w:tr>
    </w:tbl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FORMULIR PENDAFTARAN PERISTIWA KEPENDUDUKAN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I.  DATA PEMOHON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{{namaLengkap}}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Induk Kependudukan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{{nomorKK}}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II.  JENIS PERMOHONAN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Kategori Permohonan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{{kategoriPermohonan}}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Permohonan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{{jenisPermohonan}}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III.  PERSYARATAN YANG DILAMPIRKAN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{{#persyaratanDilampirkan}}</w:t>
      </w:r>
    </w:p>
    <w:p>
      <w:pPr>
        <w:pStyle w:val="BodyText"/>
        <w:ind w:left="1620" w:hanging="36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[x]  </w:t>
      </w:r>
      <w:r>
        <w:rPr>
          <w:rFonts w:ascii="Arial" w:hAnsi="Arial" w:cs="Arial"/>
        </w:rPr>
        <w:t xml:space="preserve">{{.}}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{{/persyaratanDilampirkan}}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Petugas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...................., .................... 20....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Pemohon,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