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ECD5B2" w14:textId="433DDC35" w:rsidR="00E67E2D" w:rsidRDefault="00492F5A" w:rsidP="00492F5A">
      <w:pPr>
        <w:pStyle w:val="1"/>
      </w:pPr>
      <w:r>
        <w:t>Task 4</w:t>
      </w:r>
    </w:p>
    <w:p w14:paraId="556DABCE" w14:textId="6765E7D2" w:rsidR="00492F5A" w:rsidRDefault="00492F5A" w:rsidP="00492F5A">
      <w:pPr>
        <w:ind w:firstLine="0"/>
      </w:pPr>
      <w:r w:rsidRPr="00492F5A">
        <w:rPr>
          <w:noProof/>
        </w:rPr>
        <w:drawing>
          <wp:inline distT="0" distB="0" distL="0" distR="0" wp14:anchorId="4B7B4538" wp14:editId="0619B239">
            <wp:extent cx="6801597" cy="2647950"/>
            <wp:effectExtent l="0" t="0" r="0" b="0"/>
            <wp:docPr id="19973956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3956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05273" cy="264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31EE1" w14:textId="4D7E5715" w:rsidR="00034A87" w:rsidRDefault="00034A87" w:rsidP="00492F5A">
      <w:pPr>
        <w:ind w:firstLine="0"/>
      </w:pPr>
      <w:r>
        <w:t xml:space="preserve"> </w:t>
      </w:r>
    </w:p>
    <w:tbl>
      <w:tblPr>
        <w:tblStyle w:val="a4"/>
        <w:tblpPr w:leftFromText="180" w:rightFromText="180" w:vertAnchor="page" w:horzAnchor="margin" w:tblpY="6001"/>
        <w:tblW w:w="0" w:type="auto"/>
        <w:tblLook w:val="0680" w:firstRow="0" w:lastRow="0" w:firstColumn="1" w:lastColumn="0" w:noHBand="1" w:noVBand="1"/>
      </w:tblPr>
      <w:tblGrid>
        <w:gridCol w:w="1535"/>
        <w:gridCol w:w="870"/>
        <w:gridCol w:w="926"/>
      </w:tblGrid>
      <w:tr w:rsidR="003021FA" w14:paraId="0E1D7BCE" w14:textId="77777777" w:rsidTr="003021FA">
        <w:trPr>
          <w:trHeight w:val="280"/>
        </w:trPr>
        <w:tc>
          <w:tcPr>
            <w:tcW w:w="1535" w:type="dxa"/>
          </w:tcPr>
          <w:p w14:paraId="5A1B710C" w14:textId="77777777" w:rsidR="003021FA" w:rsidRPr="003021FA" w:rsidRDefault="003021FA" w:rsidP="003021FA">
            <w:pPr>
              <w:ind w:firstLine="0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870" w:type="dxa"/>
          </w:tcPr>
          <w:p w14:paraId="69CCC5C7" w14:textId="77777777" w:rsidR="003021FA" w:rsidRDefault="003021FA" w:rsidP="003021FA">
            <w:pPr>
              <w:ind w:firstLine="0"/>
              <w:jc w:val="center"/>
            </w:pPr>
            <w:r>
              <w:t>0.9</w:t>
            </w:r>
          </w:p>
        </w:tc>
        <w:tc>
          <w:tcPr>
            <w:tcW w:w="926" w:type="dxa"/>
          </w:tcPr>
          <w:p w14:paraId="6FCC5D20" w14:textId="77777777" w:rsidR="003021FA" w:rsidRDefault="003021FA" w:rsidP="003021FA">
            <w:pPr>
              <w:ind w:firstLine="0"/>
              <w:jc w:val="center"/>
            </w:pPr>
            <w:r>
              <w:t>0.1</w:t>
            </w:r>
          </w:p>
        </w:tc>
      </w:tr>
      <w:tr w:rsidR="003021FA" w14:paraId="4F4F6EBC" w14:textId="77777777" w:rsidTr="003021FA">
        <w:trPr>
          <w:trHeight w:val="294"/>
        </w:trPr>
        <w:tc>
          <w:tcPr>
            <w:tcW w:w="1535" w:type="dxa"/>
          </w:tcPr>
          <w:p w14:paraId="1C2345F6" w14:textId="77777777" w:rsidR="003021FA" w:rsidRPr="003021FA" w:rsidRDefault="003021FA" w:rsidP="003021FA">
            <w:pPr>
              <w:ind w:firstLine="0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870" w:type="dxa"/>
          </w:tcPr>
          <w:p w14:paraId="103FA3B8" w14:textId="77777777" w:rsidR="003021FA" w:rsidRDefault="003021FA" w:rsidP="003021FA">
            <w:pPr>
              <w:ind w:firstLine="0"/>
              <w:jc w:val="center"/>
            </w:pPr>
            <w:r>
              <w:t>100</w:t>
            </w:r>
          </w:p>
        </w:tc>
        <w:tc>
          <w:tcPr>
            <w:tcW w:w="926" w:type="dxa"/>
          </w:tcPr>
          <w:p w14:paraId="747889E8" w14:textId="77777777" w:rsidR="003021FA" w:rsidRDefault="003021FA" w:rsidP="003021FA">
            <w:pPr>
              <w:ind w:firstLine="0"/>
              <w:jc w:val="center"/>
            </w:pPr>
            <w:r>
              <w:t>-200</w:t>
            </w:r>
          </w:p>
        </w:tc>
      </w:tr>
      <w:tr w:rsidR="003021FA" w14:paraId="3660BA9B" w14:textId="77777777" w:rsidTr="003021FA">
        <w:trPr>
          <w:trHeight w:val="294"/>
        </w:trPr>
        <w:tc>
          <w:tcPr>
            <w:tcW w:w="1535" w:type="dxa"/>
          </w:tcPr>
          <w:p w14:paraId="3557FA0A" w14:textId="77777777" w:rsidR="003021FA" w:rsidRPr="003021FA" w:rsidRDefault="003021FA" w:rsidP="003021FA">
            <w:pPr>
              <w:ind w:firstLine="0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X-EX</m:t>
                </m:r>
              </m:oMath>
            </m:oMathPara>
          </w:p>
        </w:tc>
        <w:tc>
          <w:tcPr>
            <w:tcW w:w="870" w:type="dxa"/>
          </w:tcPr>
          <w:p w14:paraId="0B202003" w14:textId="77777777" w:rsidR="003021FA" w:rsidRDefault="003021FA" w:rsidP="003021FA">
            <w:pPr>
              <w:ind w:firstLine="0"/>
              <w:jc w:val="center"/>
            </w:pPr>
            <w:r>
              <w:t>30</w:t>
            </w:r>
          </w:p>
        </w:tc>
        <w:tc>
          <w:tcPr>
            <w:tcW w:w="926" w:type="dxa"/>
          </w:tcPr>
          <w:p w14:paraId="6A78C66A" w14:textId="77777777" w:rsidR="003021FA" w:rsidRDefault="003021FA" w:rsidP="003021FA">
            <w:pPr>
              <w:ind w:firstLine="0"/>
              <w:jc w:val="center"/>
            </w:pPr>
            <w:r>
              <w:t>-270</w:t>
            </w:r>
          </w:p>
        </w:tc>
      </w:tr>
      <w:tr w:rsidR="003021FA" w14:paraId="57BFBF6E" w14:textId="77777777" w:rsidTr="003021FA">
        <w:trPr>
          <w:trHeight w:val="294"/>
        </w:trPr>
        <w:tc>
          <w:tcPr>
            <w:tcW w:w="1535" w:type="dxa"/>
          </w:tcPr>
          <w:p w14:paraId="37E3ADF1" w14:textId="77777777" w:rsidR="003021FA" w:rsidRPr="003021FA" w:rsidRDefault="00000000" w:rsidP="003021FA">
            <w:pPr>
              <w:ind w:firstLine="0"/>
              <w:rPr>
                <w:b/>
                <w:bCs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X-EX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870" w:type="dxa"/>
          </w:tcPr>
          <w:p w14:paraId="3494C407" w14:textId="77777777" w:rsidR="003021FA" w:rsidRDefault="003021FA" w:rsidP="003021FA">
            <w:pPr>
              <w:ind w:firstLine="0"/>
              <w:jc w:val="center"/>
            </w:pPr>
            <w:r>
              <w:t>900</w:t>
            </w:r>
          </w:p>
        </w:tc>
        <w:tc>
          <w:tcPr>
            <w:tcW w:w="926" w:type="dxa"/>
          </w:tcPr>
          <w:p w14:paraId="4A311357" w14:textId="77777777" w:rsidR="003021FA" w:rsidRDefault="003021FA" w:rsidP="003021FA">
            <w:pPr>
              <w:ind w:firstLine="0"/>
              <w:jc w:val="center"/>
            </w:pPr>
            <w:r>
              <w:t>72900</w:t>
            </w:r>
          </w:p>
        </w:tc>
      </w:tr>
    </w:tbl>
    <w:p w14:paraId="34794ECD" w14:textId="670409C9" w:rsidR="00034A87" w:rsidRPr="003021FA" w:rsidRDefault="003021FA" w:rsidP="00492F5A">
      <w:pPr>
        <w:ind w:firstLine="0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EX</m:t>
          </m:r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=0.9⋅100+0.1⋅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-200</m:t>
              </m:r>
            </m:e>
          </m:d>
          <m:r>
            <w:rPr>
              <w:rFonts w:ascii="Cambria Math" w:hAnsi="Cambria Math"/>
            </w:rPr>
            <m:t>=90-20</m:t>
          </m:r>
          <m:r>
            <m:rPr>
              <m:sty m:val="bi"/>
            </m:rPr>
            <w:rPr>
              <w:rFonts w:ascii="Cambria Math" w:hAnsi="Cambria Math"/>
            </w:rPr>
            <m:t>=70</m:t>
          </m:r>
        </m:oMath>
      </m:oMathPara>
    </w:p>
    <w:p w14:paraId="73BE8A09" w14:textId="2216A61C" w:rsidR="003021FA" w:rsidRPr="003021FA" w:rsidRDefault="003021FA" w:rsidP="00492F5A">
      <w:pPr>
        <w:ind w:firstLine="0"/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VarX</m:t>
          </m:r>
          <m:r>
            <w:rPr>
              <w:rFonts w:ascii="Cambria Math" w:hAnsi="Cambria Math"/>
            </w:rPr>
            <m:t>=E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X-EX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-EX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=0.9⋅900+0.1⋅72900</m:t>
          </m:r>
          <m:r>
            <m:rPr>
              <m:sty m:val="bi"/>
            </m:rPr>
            <w:rPr>
              <w:rFonts w:ascii="Cambria Math" w:hAnsi="Cambria Math"/>
            </w:rPr>
            <m:t>=8100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1E17E4AA" w14:textId="001724A5" w:rsidR="00034A87" w:rsidRDefault="00034A87" w:rsidP="00492F5A">
      <w:pPr>
        <w:ind w:firstLine="0"/>
      </w:pPr>
    </w:p>
    <w:tbl>
      <w:tblPr>
        <w:tblStyle w:val="a4"/>
        <w:tblpPr w:leftFromText="180" w:rightFromText="180" w:vertAnchor="page" w:horzAnchor="margin" w:tblpY="8296"/>
        <w:tblW w:w="0" w:type="auto"/>
        <w:tblLook w:val="0680" w:firstRow="0" w:lastRow="0" w:firstColumn="1" w:lastColumn="0" w:noHBand="1" w:noVBand="1"/>
      </w:tblPr>
      <w:tblGrid>
        <w:gridCol w:w="1535"/>
        <w:gridCol w:w="870"/>
        <w:gridCol w:w="926"/>
      </w:tblGrid>
      <w:tr w:rsidR="00383598" w14:paraId="7062A6EB" w14:textId="77777777" w:rsidTr="000265B9">
        <w:trPr>
          <w:trHeight w:val="280"/>
        </w:trPr>
        <w:tc>
          <w:tcPr>
            <w:tcW w:w="1535" w:type="dxa"/>
          </w:tcPr>
          <w:p w14:paraId="339A2E0D" w14:textId="77777777" w:rsidR="00383598" w:rsidRPr="003021FA" w:rsidRDefault="00383598" w:rsidP="000265B9">
            <w:pPr>
              <w:ind w:firstLine="0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870" w:type="dxa"/>
          </w:tcPr>
          <w:p w14:paraId="3CE581E3" w14:textId="77777777" w:rsidR="00383598" w:rsidRDefault="00383598" w:rsidP="000265B9">
            <w:pPr>
              <w:ind w:firstLine="0"/>
              <w:jc w:val="center"/>
            </w:pPr>
            <w:r>
              <w:t>0.9</w:t>
            </w:r>
          </w:p>
        </w:tc>
        <w:tc>
          <w:tcPr>
            <w:tcW w:w="926" w:type="dxa"/>
          </w:tcPr>
          <w:p w14:paraId="4BB4C126" w14:textId="77777777" w:rsidR="00383598" w:rsidRDefault="00383598" w:rsidP="000265B9">
            <w:pPr>
              <w:ind w:firstLine="0"/>
              <w:jc w:val="center"/>
            </w:pPr>
            <w:r>
              <w:t>0.1</w:t>
            </w:r>
          </w:p>
        </w:tc>
      </w:tr>
      <w:tr w:rsidR="00383598" w14:paraId="47AD70CF" w14:textId="77777777" w:rsidTr="000265B9">
        <w:trPr>
          <w:trHeight w:val="294"/>
        </w:trPr>
        <w:tc>
          <w:tcPr>
            <w:tcW w:w="1535" w:type="dxa"/>
          </w:tcPr>
          <w:p w14:paraId="13AA7697" w14:textId="77777777" w:rsidR="00383598" w:rsidRPr="003021FA" w:rsidRDefault="00383598" w:rsidP="000265B9">
            <w:pPr>
              <w:ind w:firstLine="0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oMath>
            </m:oMathPara>
          </w:p>
        </w:tc>
        <w:tc>
          <w:tcPr>
            <w:tcW w:w="870" w:type="dxa"/>
          </w:tcPr>
          <w:p w14:paraId="0D944405" w14:textId="77777777" w:rsidR="00383598" w:rsidRDefault="00383598" w:rsidP="000265B9">
            <w:pPr>
              <w:ind w:firstLine="0"/>
              <w:jc w:val="center"/>
            </w:pPr>
            <w:r>
              <w:t>70</w:t>
            </w:r>
          </w:p>
        </w:tc>
        <w:tc>
          <w:tcPr>
            <w:tcW w:w="926" w:type="dxa"/>
          </w:tcPr>
          <w:p w14:paraId="0C021A09" w14:textId="4C0E0824" w:rsidR="00383598" w:rsidRDefault="00383598" w:rsidP="000265B9">
            <w:pPr>
              <w:ind w:firstLine="0"/>
              <w:jc w:val="center"/>
            </w:pPr>
            <w:r>
              <w:t>-30</w:t>
            </w:r>
          </w:p>
        </w:tc>
      </w:tr>
      <w:tr w:rsidR="00383598" w14:paraId="417B2700" w14:textId="77777777" w:rsidTr="000265B9">
        <w:trPr>
          <w:trHeight w:val="294"/>
        </w:trPr>
        <w:tc>
          <w:tcPr>
            <w:tcW w:w="1535" w:type="dxa"/>
          </w:tcPr>
          <w:p w14:paraId="63CD8F1C" w14:textId="77777777" w:rsidR="00383598" w:rsidRPr="003021FA" w:rsidRDefault="00383598" w:rsidP="000265B9">
            <w:pPr>
              <w:ind w:firstLine="0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Y-EY</m:t>
                </m:r>
              </m:oMath>
            </m:oMathPara>
          </w:p>
        </w:tc>
        <w:tc>
          <w:tcPr>
            <w:tcW w:w="870" w:type="dxa"/>
          </w:tcPr>
          <w:p w14:paraId="5FF8242C" w14:textId="4BA90703" w:rsidR="00383598" w:rsidRDefault="00383598" w:rsidP="000265B9">
            <w:pPr>
              <w:ind w:firstLine="0"/>
              <w:jc w:val="center"/>
            </w:pPr>
            <w:r>
              <w:t>10</w:t>
            </w:r>
          </w:p>
        </w:tc>
        <w:tc>
          <w:tcPr>
            <w:tcW w:w="926" w:type="dxa"/>
          </w:tcPr>
          <w:p w14:paraId="4D90A79E" w14:textId="3D18233F" w:rsidR="00383598" w:rsidRDefault="00383598" w:rsidP="000265B9">
            <w:pPr>
              <w:ind w:firstLine="0"/>
              <w:jc w:val="center"/>
            </w:pPr>
            <w:r>
              <w:t>-90</w:t>
            </w:r>
          </w:p>
        </w:tc>
      </w:tr>
      <w:tr w:rsidR="00383598" w14:paraId="6300AC26" w14:textId="77777777" w:rsidTr="000265B9">
        <w:trPr>
          <w:trHeight w:val="294"/>
        </w:trPr>
        <w:tc>
          <w:tcPr>
            <w:tcW w:w="1535" w:type="dxa"/>
          </w:tcPr>
          <w:p w14:paraId="2C93F33B" w14:textId="77777777" w:rsidR="00383598" w:rsidRPr="003021FA" w:rsidRDefault="00000000" w:rsidP="000265B9">
            <w:pPr>
              <w:ind w:firstLine="0"/>
              <w:rPr>
                <w:b/>
                <w:bCs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Y-EY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870" w:type="dxa"/>
          </w:tcPr>
          <w:p w14:paraId="42E6FC2B" w14:textId="3F7C814E" w:rsidR="00383598" w:rsidRDefault="00383598" w:rsidP="000265B9">
            <w:pPr>
              <w:ind w:firstLine="0"/>
              <w:jc w:val="center"/>
            </w:pPr>
            <w:r>
              <w:t>100</w:t>
            </w:r>
          </w:p>
        </w:tc>
        <w:tc>
          <w:tcPr>
            <w:tcW w:w="926" w:type="dxa"/>
          </w:tcPr>
          <w:p w14:paraId="3264E061" w14:textId="252EB2F9" w:rsidR="00383598" w:rsidRDefault="00383598" w:rsidP="000265B9">
            <w:pPr>
              <w:ind w:firstLine="0"/>
              <w:jc w:val="center"/>
            </w:pPr>
            <w:r>
              <w:t>8100</w:t>
            </w:r>
          </w:p>
        </w:tc>
      </w:tr>
    </w:tbl>
    <w:p w14:paraId="49D96AC0" w14:textId="77777777" w:rsidR="003021FA" w:rsidRDefault="003021FA" w:rsidP="00492F5A">
      <w:pPr>
        <w:ind w:firstLine="0"/>
      </w:pPr>
    </w:p>
    <w:p w14:paraId="098B2E02" w14:textId="77777777" w:rsidR="000265B9" w:rsidRDefault="000265B9" w:rsidP="00492F5A">
      <w:pPr>
        <w:ind w:firstLine="0"/>
      </w:pPr>
    </w:p>
    <w:p w14:paraId="338FD7BA" w14:textId="1ACA441A" w:rsidR="003021FA" w:rsidRPr="00383598" w:rsidRDefault="00383598" w:rsidP="00492F5A">
      <w:pPr>
        <w:ind w:firstLine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EY</m:t>
          </m:r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=0.9⋅70+0.1⋅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-30</m:t>
              </m:r>
            </m:e>
          </m:d>
          <m:r>
            <w:rPr>
              <w:rFonts w:ascii="Cambria Math" w:hAnsi="Cambria Math"/>
            </w:rPr>
            <m:t>=63-3</m:t>
          </m:r>
          <m:r>
            <m:rPr>
              <m:sty m:val="bi"/>
            </m:rPr>
            <w:rPr>
              <w:rFonts w:ascii="Cambria Math" w:hAnsi="Cambria Math"/>
            </w:rPr>
            <m:t>=60</m:t>
          </m:r>
        </m:oMath>
      </m:oMathPara>
    </w:p>
    <w:p w14:paraId="339FDF19" w14:textId="24554C18" w:rsidR="00383598" w:rsidRPr="000265B9" w:rsidRDefault="00383598" w:rsidP="00492F5A">
      <w:pPr>
        <w:ind w:firstLine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Var Y</m:t>
          </m:r>
          <m:r>
            <w:rPr>
              <w:rFonts w:ascii="Cambria Math" w:hAnsi="Cambria Math"/>
            </w:rPr>
            <m:t>=E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Y-EY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-EY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=0.9⋅100+0.1⋅8100</m:t>
          </m:r>
          <m:r>
            <m:rPr>
              <m:sty m:val="bi"/>
            </m:rPr>
            <w:rPr>
              <w:rFonts w:ascii="Cambria Math" w:hAnsi="Cambria Math"/>
            </w:rPr>
            <m:t>=900</m:t>
          </m:r>
        </m:oMath>
      </m:oMathPara>
    </w:p>
    <w:p w14:paraId="6C642D92" w14:textId="77777777" w:rsidR="000265B9" w:rsidRDefault="000265B9" w:rsidP="00492F5A">
      <w:pPr>
        <w:ind w:firstLine="0"/>
        <w:rPr>
          <w:rFonts w:eastAsiaTheme="minorEastAsia"/>
          <w:b/>
          <w:bCs/>
        </w:rPr>
      </w:pPr>
    </w:p>
    <w:p w14:paraId="45C35CF5" w14:textId="77777777" w:rsidR="000265B9" w:rsidRDefault="000265B9" w:rsidP="00492F5A">
      <w:pPr>
        <w:ind w:firstLine="0"/>
        <w:rPr>
          <w:rFonts w:eastAsiaTheme="minorEastAsia"/>
          <w:b/>
          <w:bCs/>
        </w:rPr>
      </w:pPr>
    </w:p>
    <w:p w14:paraId="6A061774" w14:textId="77777777" w:rsidR="00E3453F" w:rsidRDefault="000265B9" w:rsidP="00492F5A">
      <w:pPr>
        <w:ind w:firstLine="0"/>
        <w:rPr>
          <w:rFonts w:eastAsiaTheme="minorEastAsia"/>
        </w:rPr>
      </w:pPr>
      <w:r w:rsidRPr="000265B9">
        <w:rPr>
          <w:rFonts w:eastAsiaTheme="minorEastAsia"/>
        </w:rPr>
        <w:t xml:space="preserve">As we can see from the calculations, buying insurance decreases expected value of profit and </w:t>
      </w:r>
      <w:proofErr w:type="gramStart"/>
      <w:r w:rsidRPr="000265B9">
        <w:rPr>
          <w:rFonts w:eastAsiaTheme="minorEastAsia"/>
        </w:rPr>
        <w:t>it’s</w:t>
      </w:r>
      <w:proofErr w:type="gramEnd"/>
      <w:r w:rsidRPr="000265B9">
        <w:rPr>
          <w:rFonts w:eastAsiaTheme="minorEastAsia"/>
        </w:rPr>
        <w:t xml:space="preserve"> variance</w:t>
      </w:r>
      <w:r>
        <w:rPr>
          <w:rFonts w:eastAsiaTheme="minorEastAsia"/>
        </w:rPr>
        <w:t xml:space="preserve">. It means that in long run, if no accidents occur, Space Company will get less profit from every launch of a spaceship. </w:t>
      </w:r>
      <w:proofErr w:type="gramStart"/>
      <w:r w:rsidR="00E3453F">
        <w:rPr>
          <w:rFonts w:eastAsiaTheme="minorEastAsia"/>
        </w:rPr>
        <w:t>So</w:t>
      </w:r>
      <w:proofErr w:type="gramEnd"/>
      <w:r w:rsidR="00E3453F">
        <w:rPr>
          <w:rFonts w:eastAsiaTheme="minorEastAsia"/>
        </w:rPr>
        <w:t xml:space="preserve"> the 1</w:t>
      </w:r>
      <w:r w:rsidR="00E3453F" w:rsidRPr="00E3453F">
        <w:rPr>
          <w:rFonts w:eastAsiaTheme="minorEastAsia"/>
          <w:vertAlign w:val="superscript"/>
        </w:rPr>
        <w:t>st</w:t>
      </w:r>
      <w:r w:rsidR="00E3453F">
        <w:rPr>
          <w:rFonts w:eastAsiaTheme="minorEastAsia"/>
        </w:rPr>
        <w:t xml:space="preserve"> strategy (without insurance) seems to be more profitable.</w:t>
      </w:r>
    </w:p>
    <w:p w14:paraId="7FAF3BAD" w14:textId="5A930648" w:rsidR="000265B9" w:rsidRDefault="000265B9" w:rsidP="00492F5A">
      <w:pPr>
        <w:ind w:firstLine="0"/>
        <w:rPr>
          <w:rFonts w:eastAsiaTheme="minorEastAsia"/>
        </w:rPr>
      </w:pPr>
      <w:r>
        <w:rPr>
          <w:rFonts w:eastAsiaTheme="minorEastAsia"/>
        </w:rPr>
        <w:t>At the same time</w:t>
      </w:r>
      <w:r w:rsidR="005B6115">
        <w:rPr>
          <w:rFonts w:eastAsiaTheme="minorEastAsia"/>
        </w:rPr>
        <w:t xml:space="preserve"> in the </w:t>
      </w:r>
      <w:r w:rsidR="00E3453F">
        <w:rPr>
          <w:rFonts w:eastAsiaTheme="minorEastAsia"/>
        </w:rPr>
        <w:t>long run, the 2</w:t>
      </w:r>
      <w:r w:rsidR="00E3453F" w:rsidRPr="00E3453F">
        <w:rPr>
          <w:rFonts w:eastAsiaTheme="minorEastAsia"/>
          <w:vertAlign w:val="superscript"/>
        </w:rPr>
        <w:t>nd</w:t>
      </w:r>
      <w:r w:rsidR="00E3453F">
        <w:rPr>
          <w:rFonts w:eastAsiaTheme="minorEastAsia"/>
        </w:rPr>
        <w:t xml:space="preserve"> strategy (with insurance) is safer. </w:t>
      </w:r>
      <w:r w:rsidR="005B6115">
        <w:rPr>
          <w:rFonts w:eastAsiaTheme="minorEastAsia"/>
        </w:rPr>
        <w:t>It’s fine if Company has a lot of money, then it can cover the cost of a failed launch. But if several launches fail in a row, then there is a high chance that Company will go bankrupt. But if Company has insurance, then failed launches won’t cost as much.</w:t>
      </w:r>
    </w:p>
    <w:p w14:paraId="56F705F2" w14:textId="74BFE22D" w:rsidR="009D1B10" w:rsidRPr="00E3453F" w:rsidRDefault="009D1B10" w:rsidP="00492F5A">
      <w:pPr>
        <w:ind w:firstLine="0"/>
      </w:pPr>
      <w:r>
        <w:rPr>
          <w:rFonts w:eastAsiaTheme="minorEastAsia"/>
        </w:rPr>
        <w:t>So basically, if the Company is rich enough it might ignore dangers of failed launches and not buy insurance to get more profit. Otherwise, buying insurance can save the company a lot of trouble, especially in case of continuous failures.</w:t>
      </w:r>
    </w:p>
    <w:sectPr w:rsidR="009D1B10" w:rsidRPr="00E3453F" w:rsidSect="00E81337">
      <w:pgSz w:w="11906" w:h="16838"/>
      <w:pgMar w:top="1134" w:right="566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6D9"/>
    <w:rsid w:val="000265B9"/>
    <w:rsid w:val="00034A87"/>
    <w:rsid w:val="000C6758"/>
    <w:rsid w:val="000E13E5"/>
    <w:rsid w:val="000E5E1C"/>
    <w:rsid w:val="00145CDC"/>
    <w:rsid w:val="002043F9"/>
    <w:rsid w:val="00224F77"/>
    <w:rsid w:val="00240179"/>
    <w:rsid w:val="002437D4"/>
    <w:rsid w:val="003021FA"/>
    <w:rsid w:val="00383598"/>
    <w:rsid w:val="00442E41"/>
    <w:rsid w:val="00444F68"/>
    <w:rsid w:val="00480123"/>
    <w:rsid w:val="00492F5A"/>
    <w:rsid w:val="005B6115"/>
    <w:rsid w:val="0063562D"/>
    <w:rsid w:val="00650B9C"/>
    <w:rsid w:val="006E4BC3"/>
    <w:rsid w:val="007A5E00"/>
    <w:rsid w:val="00862D2D"/>
    <w:rsid w:val="008F3CD9"/>
    <w:rsid w:val="009D1B10"/>
    <w:rsid w:val="009F06D9"/>
    <w:rsid w:val="00AB7147"/>
    <w:rsid w:val="00B25017"/>
    <w:rsid w:val="00E3453F"/>
    <w:rsid w:val="00E67E2D"/>
    <w:rsid w:val="00E81337"/>
    <w:rsid w:val="00E91DF4"/>
    <w:rsid w:val="00EA6FA7"/>
    <w:rsid w:val="00F131A7"/>
    <w:rsid w:val="00F30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F89CE"/>
  <w15:chartTrackingRefBased/>
  <w15:docId w15:val="{C31F80EE-7F92-4035-99A2-A6B136196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2E41"/>
    <w:pPr>
      <w:spacing w:after="0"/>
      <w:ind w:firstLine="720"/>
    </w:pPr>
    <w:rPr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6E4BC3"/>
    <w:pPr>
      <w:ind w:firstLine="0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44F68"/>
    <w:rPr>
      <w:color w:val="666666"/>
    </w:rPr>
  </w:style>
  <w:style w:type="character" w:customStyle="1" w:styleId="10">
    <w:name w:val="Заголовок 1 Знак"/>
    <w:basedOn w:val="a0"/>
    <w:link w:val="1"/>
    <w:uiPriority w:val="9"/>
    <w:rsid w:val="006E4BC3"/>
    <w:rPr>
      <w:b/>
      <w:bCs/>
      <w:sz w:val="28"/>
      <w:szCs w:val="28"/>
    </w:rPr>
  </w:style>
  <w:style w:type="table" w:styleId="a4">
    <w:name w:val="Table Grid"/>
    <w:basedOn w:val="a1"/>
    <w:uiPriority w:val="39"/>
    <w:rsid w:val="00034A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Мельников Михаил Михайлович</dc:creator>
  <cp:keywords/>
  <dc:description/>
  <cp:lastModifiedBy>Мельников Михаил Михайлович</cp:lastModifiedBy>
  <cp:revision>10</cp:revision>
  <dcterms:created xsi:type="dcterms:W3CDTF">2024-02-23T20:37:00Z</dcterms:created>
  <dcterms:modified xsi:type="dcterms:W3CDTF">2024-03-03T00:39:00Z</dcterms:modified>
</cp:coreProperties>
</file>