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240" w:before="240" w:lineRule="auto"/>
        <w:rPr/>
      </w:pPr>
      <w:bookmarkStart w:colFirst="0" w:colLast="0" w:name="_nbjjskptbfo8" w:id="0"/>
      <w:bookmarkEnd w:id="0"/>
      <w:r w:rsidDel="00000000" w:rsidR="00000000" w:rsidRPr="00000000">
        <w:rPr>
          <w:rtl w:val="0"/>
        </w:rPr>
        <w:t xml:space="preserve">Campaign Performance Brief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Data window: 2025-05-22 → 2025-08-19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240" w:before="240" w:lineRule="auto"/>
        <w:rPr/>
      </w:pPr>
      <w:bookmarkStart w:colFirst="0" w:colLast="0" w:name="_nbjjskptbfo8" w:id="0"/>
      <w:bookmarkEnd w:id="0"/>
      <w:r w:rsidDel="00000000" w:rsidR="00000000" w:rsidRPr="00000000">
        <w:rPr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efficiency:</w:t>
      </w:r>
      <w:r w:rsidDel="00000000" w:rsidR="00000000" w:rsidRPr="00000000">
        <w:rPr>
          <w:rtl w:val="0"/>
        </w:rPr>
        <w:t xml:space="preserve"> TikTok / paid_social / remarketing — CPA $3.27, CR 10%.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Biggest leak: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 → Cart drop-off ≈ 89.9%.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lever: </w:t>
      </w:r>
      <w:r w:rsidDel="00000000" w:rsidR="00000000" w:rsidRPr="00000000">
        <w:rPr>
          <w:rtl w:val="0"/>
        </w:rPr>
        <w:t xml:space="preserve">Reallocating $100 from Instagram paid social ($5.91 CPA) to TikTok remarketing ($3.27 CPA) could yield ~13–14 incremental conversions (assumption: linear scaling).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aryad157d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Key insights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TikTok Remarketing</w:t>
      </w:r>
      <w:r w:rsidDel="00000000" w:rsidR="00000000" w:rsidRPr="00000000">
        <w:rPr>
          <w:rtl w:val="0"/>
        </w:rPr>
        <w:t xml:space="preserve"> delivers the </w:t>
      </w:r>
      <w:r w:rsidDel="00000000" w:rsidR="00000000" w:rsidRPr="00000000">
        <w:rPr>
          <w:b w:val="1"/>
          <w:rtl w:val="0"/>
        </w:rPr>
        <w:t xml:space="preserve">lowest CPA ($3.27)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with competitive CR (10%) → strong candidate for incremental budget.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Brand Search (spring_sale)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is also highly efficient (CPA $3.80, CR ~10%) → maintain or expand.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CPC (newsletter)</w:t>
      </w:r>
      <w:r w:rsidDel="00000000" w:rsidR="00000000" w:rsidRPr="00000000">
        <w:rPr>
          <w:rtl w:val="0"/>
        </w:rPr>
        <w:t xml:space="preserve"> shows the </w:t>
      </w:r>
      <w:r w:rsidDel="00000000" w:rsidR="00000000" w:rsidRPr="00000000">
        <w:rPr>
          <w:b w:val="1"/>
          <w:rtl w:val="0"/>
        </w:rPr>
        <w:t xml:space="preserve">highest CR (11.1%)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among paid channels, with moderate CPA ($4.88) → optimize around newsletter keywords/ad-copy.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Instagram Paid Social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lags (CPA $5.91, CR ~7.1%) → deprioritize or refine targeting.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Budget Strategy:</w:t>
      </w:r>
      <w:r w:rsidDel="00000000" w:rsidR="00000000" w:rsidRPr="00000000">
        <w:rPr>
          <w:rtl w:val="0"/>
        </w:rPr>
        <w:t xml:space="preserve"> Shift a small portion (5–10%) of paid budget toward TikTok remarketing + Google CPC/Brand. Monitor incremental lift, frequency, and audience saturation over 1–2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/>
      </w:pPr>
      <w:bookmarkStart w:colFirst="0" w:colLast="0" w:name="_ek7i01mj2eu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Funnel leakage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Product → Cart:</w:t>
      </w:r>
      <w:r w:rsidDel="00000000" w:rsidR="00000000" w:rsidRPr="00000000">
        <w:rPr>
          <w:rtl w:val="0"/>
        </w:rPr>
        <w:t xml:space="preserve"> ~89.9% drop-off.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Hypotheses:</w:t>
      </w:r>
      <w:r w:rsidDel="00000000" w:rsidR="00000000" w:rsidRPr="00000000">
        <w:rPr>
          <w:rtl w:val="0"/>
        </w:rPr>
        <w:t xml:space="preserve"> weak CTA placement, unclear shipping/returns, low social proof, page performance.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Actions (7–14 days):</w:t>
      </w:r>
      <w:r w:rsidDel="00000000" w:rsidR="00000000" w:rsidRPr="00000000">
        <w:rPr>
          <w:rtl w:val="0"/>
        </w:rPr>
        <w:t xml:space="preserve"> place primary CTA above the fold, surface shipping/returns early, integrate reviews/trust badges, and improve page load times.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Cart → Checkout:</w:t>
      </w:r>
      <w:r w:rsidDel="00000000" w:rsidR="00000000" w:rsidRPr="00000000">
        <w:rPr>
          <w:rtl w:val="0"/>
        </w:rPr>
        <w:t xml:space="preserve"> ~48.8% drop-off.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Actions:</w:t>
      </w:r>
      <w:r w:rsidDel="00000000" w:rsidR="00000000" w:rsidRPr="00000000">
        <w:rPr>
          <w:rtl w:val="0"/>
        </w:rPr>
        <w:t xml:space="preserve"> enable guest checkout, auto-save carts, simplify cart UX.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Checkout → Purchase:</w:t>
      </w:r>
      <w:r w:rsidDel="00000000" w:rsidR="00000000" w:rsidRPr="00000000">
        <w:rPr>
          <w:rtl w:val="0"/>
        </w:rPr>
        <w:t xml:space="preserve"> ~45.2% drop-off.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Actions:</w:t>
      </w:r>
      <w:r w:rsidDel="00000000" w:rsidR="00000000" w:rsidRPr="00000000">
        <w:rPr>
          <w:rtl w:val="0"/>
        </w:rPr>
        <w:t xml:space="preserve"> reduce form fields, support wallets (Apple Pay/Google Pay), display full cost (incl. shipping/taxes) upfront.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6wn8ay3p3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Performance Stats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Paid CPA (best → worst of top 5):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TikTok / paid_social / remarketing — CPA </w:t>
      </w:r>
      <w:r w:rsidDel="00000000" w:rsidR="00000000" w:rsidRPr="00000000">
        <w:rPr>
          <w:b w:val="1"/>
          <w:rtl w:val="0"/>
        </w:rPr>
        <w:t xml:space="preserve">$3.27</w:t>
      </w:r>
      <w:r w:rsidDel="00000000" w:rsidR="00000000" w:rsidRPr="00000000">
        <w:rPr>
          <w:rtl w:val="0"/>
        </w:rPr>
        <w:t xml:space="preserve"> — CR </w:t>
      </w:r>
      <w:r w:rsidDel="00000000" w:rsidR="00000000" w:rsidRPr="00000000">
        <w:rPr>
          <w:b w:val="1"/>
          <w:rtl w:val="0"/>
        </w:rPr>
        <w:t xml:space="preserve">10.0%</w:t>
      </w:r>
      <w:r w:rsidDel="00000000" w:rsidR="00000000" w:rsidRPr="00000000">
        <w:rPr>
          <w:rtl w:val="0"/>
        </w:rPr>
        <w:t xml:space="preserve"> (10 sessions, 1 purchase)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/ brand_search / spring_sale — CPA </w:t>
      </w:r>
      <w:r w:rsidDel="00000000" w:rsidR="00000000" w:rsidRPr="00000000">
        <w:rPr>
          <w:b w:val="1"/>
          <w:rtl w:val="0"/>
        </w:rPr>
        <w:t xml:space="preserve">$3.80</w:t>
      </w:r>
      <w:r w:rsidDel="00000000" w:rsidR="00000000" w:rsidRPr="00000000">
        <w:rPr>
          <w:rtl w:val="0"/>
        </w:rPr>
        <w:t xml:space="preserve"> — CR </w:t>
      </w:r>
      <w:r w:rsidDel="00000000" w:rsidR="00000000" w:rsidRPr="00000000">
        <w:rPr>
          <w:b w:val="1"/>
          <w:rtl w:val="0"/>
        </w:rPr>
        <w:t xml:space="preserve">10.0%</w:t>
      </w:r>
      <w:r w:rsidDel="00000000" w:rsidR="00000000" w:rsidRPr="00000000">
        <w:rPr>
          <w:rtl w:val="0"/>
        </w:rPr>
        <w:t xml:space="preserve"> (20 sessions, 2 purchases)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/ cpc / newsletter — CPA </w:t>
      </w:r>
      <w:r w:rsidDel="00000000" w:rsidR="00000000" w:rsidRPr="00000000">
        <w:rPr>
          <w:b w:val="1"/>
          <w:rtl w:val="0"/>
        </w:rPr>
        <w:t xml:space="preserve">$4.88</w:t>
      </w:r>
      <w:r w:rsidDel="00000000" w:rsidR="00000000" w:rsidRPr="00000000">
        <w:rPr>
          <w:rtl w:val="0"/>
        </w:rPr>
        <w:t xml:space="preserve"> — CR </w:t>
      </w:r>
      <w:r w:rsidDel="00000000" w:rsidR="00000000" w:rsidRPr="00000000">
        <w:rPr>
          <w:b w:val="1"/>
          <w:rtl w:val="0"/>
        </w:rPr>
        <w:t xml:space="preserve">11.1%</w:t>
      </w:r>
      <w:r w:rsidDel="00000000" w:rsidR="00000000" w:rsidRPr="00000000">
        <w:rPr>
          <w:rtl w:val="0"/>
        </w:rPr>
        <w:t xml:space="preserve"> (18 sessions, 2 purchases)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/ brand_search / none — CPA </w:t>
      </w:r>
      <w:r w:rsidDel="00000000" w:rsidR="00000000" w:rsidRPr="00000000">
        <w:rPr>
          <w:b w:val="1"/>
          <w:rtl w:val="0"/>
        </w:rPr>
        <w:t xml:space="preserve">$5.08</w:t>
      </w:r>
      <w:r w:rsidDel="00000000" w:rsidR="00000000" w:rsidRPr="00000000">
        <w:rPr>
          <w:rtl w:val="0"/>
        </w:rPr>
        <w:t xml:space="preserve"> — CR </w:t>
      </w:r>
      <w:r w:rsidDel="00000000" w:rsidR="00000000" w:rsidRPr="00000000">
        <w:rPr>
          <w:b w:val="1"/>
          <w:rtl w:val="0"/>
        </w:rPr>
        <w:t xml:space="preserve">7.7%</w:t>
      </w:r>
      <w:r w:rsidDel="00000000" w:rsidR="00000000" w:rsidRPr="00000000">
        <w:rPr>
          <w:rtl w:val="0"/>
        </w:rPr>
        <w:t xml:space="preserve"> (26 sessions, 2 purchases)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Instagram / paid_social / newsletter — CPA </w:t>
      </w:r>
      <w:r w:rsidDel="00000000" w:rsidR="00000000" w:rsidRPr="00000000">
        <w:rPr>
          <w:b w:val="1"/>
          <w:rtl w:val="0"/>
        </w:rPr>
        <w:t xml:space="preserve">$5.91</w:t>
      </w:r>
      <w:r w:rsidDel="00000000" w:rsidR="00000000" w:rsidRPr="00000000">
        <w:rPr>
          <w:rtl w:val="0"/>
        </w:rPr>
        <w:t xml:space="preserve"> — CR </w:t>
      </w:r>
      <w:r w:rsidDel="00000000" w:rsidR="00000000" w:rsidRPr="00000000">
        <w:rPr>
          <w:b w:val="1"/>
          <w:rtl w:val="0"/>
        </w:rPr>
        <w:t xml:space="preserve">7.1%</w:t>
      </w:r>
      <w:r w:rsidDel="00000000" w:rsidR="00000000" w:rsidRPr="00000000">
        <w:rPr>
          <w:rtl w:val="0"/>
        </w:rPr>
        <w:t xml:space="preserve"> (14 sessions, 1 purchase)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 Conversion Rate channels (all traffic):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 / organic / newsletter — </w:t>
      </w:r>
      <w:r w:rsidDel="00000000" w:rsidR="00000000" w:rsidRPr="00000000">
        <w:rPr>
          <w:b w:val="1"/>
          <w:rtl w:val="0"/>
        </w:rPr>
        <w:t xml:space="preserve">13.64%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/ cpc / newsletter — </w:t>
      </w:r>
      <w:r w:rsidDel="00000000" w:rsidR="00000000" w:rsidRPr="00000000">
        <w:rPr>
          <w:b w:val="1"/>
          <w:rtl w:val="0"/>
        </w:rPr>
        <w:t xml:space="preserve">11.11%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Instagram / organic / remarketing — </w:t>
      </w:r>
      <w:r w:rsidDel="00000000" w:rsidR="00000000" w:rsidRPr="00000000">
        <w:rPr>
          <w:b w:val="1"/>
          <w:rtl w:val="0"/>
        </w:rPr>
        <w:t xml:space="preserve">10.00%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pyllpph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Impact example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Reallocation model (rough):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extra_conversions ≈ Budget × (1/CPA_new − 1/CPA_old)</w:t>
        <w:br w:type="textWrapping"/>
      </w:r>
      <w:r w:rsidDel="00000000" w:rsidR="00000000" w:rsidRPr="00000000">
        <w:rPr>
          <w:rtl w:val="0"/>
        </w:rPr>
        <w:t xml:space="preserve"> Example: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$100 × (1/3.27 − 1/5.91) ≈ 13.7 → ~13–14 extra conversions.</w:t>
      </w:r>
    </w:p>
    <w:p w:rsidR="00000000" w:rsidDel="00000000" w:rsidP="00000000" w:rsidRDefault="00000000" w:rsidRPr="00000000" w14:paraId="00000023">
      <w:pPr>
        <w:pStyle w:val="Heading2"/>
        <w:spacing w:after="240" w:before="240" w:lineRule="auto"/>
        <w:rPr/>
      </w:pPr>
      <w:bookmarkStart w:colFirst="0" w:colLast="0" w:name="_ou4u35jf3ofq" w:id="5"/>
      <w:bookmarkEnd w:id="5"/>
      <w:r w:rsidDel="00000000" w:rsidR="00000000" w:rsidRPr="00000000">
        <w:rPr>
          <w:rtl w:val="0"/>
        </w:rPr>
        <w:t xml:space="preserve">Data &amp; Definitions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Qualified session: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2 pages or add-to-cart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CPA:</w:t>
      </w:r>
      <w:r w:rsidDel="00000000" w:rsidR="00000000" w:rsidRPr="00000000">
        <w:rPr>
          <w:rtl w:val="0"/>
        </w:rPr>
        <w:t xml:space="preserve"> total cost ÷ purchases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synthetic, 1,200 sessions over ~90 days (portfolio project)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