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jc w:val="center"/>
      </w:pPr>
      <w:r>
        <w:drawing>
          <wp:inline distT="0" distB="0" distL="0" distR="0">
            <wp:extent cx="27622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1552575"/>
                    </a:xfrm>
                    <a:prstGeom prst="rect">
                      <a:avLst/>
                    </a:prstGeom>
                  </pic:spPr>
                </pic:pic>
              </a:graphicData>
            </a:graphic>
          </wp:inline>
        </w:drawing>
      </w:r>
    </w:p>
    <w:p>
      <w:pPr>
        <w:spacing w:after="180"/>
      </w:pPr>
    </w:p>
    <w:p>
      <w:pPr>
        <w:spacing w:after="60"/>
        <w:jc w:val="center"/>
      </w:pPr>
      <w:r>
        <w:rPr>
          <w:rFonts w:ascii="Arial" w:cs="Arial" w:eastAsia="Arial" w:hAnsi="Arial"/>
          <w:b/>
          <w:bCs/>
          <w:color w:val="FD6925"/>
          <w:sz w:val="28"/>
          <w:szCs w:val="28"/>
        </w:rPr>
        <w:t xml:space="preserve">opsx PROPOSAL</w:t>
      </w:r>
    </w:p>
    <w:p>
      <w:pPr>
        <w:spacing w:after="80"/>
        <w:jc w:val="center"/>
      </w:pPr>
      <w:r>
        <w:rPr>
          <w:rFonts w:ascii="Arial" w:cs="Arial" w:eastAsia="Arial" w:hAnsi="Arial"/>
          <w:b/>
          <w:bCs/>
          <w:color w:val="041F60"/>
          <w:sz w:val="48"/>
          <w:szCs w:val="48"/>
        </w:rPr>
        <w:t xml:space="preserve">Hommies.sg Internal Portal</w:t>
      </w:r>
    </w:p>
    <w:p>
      <w:pPr>
        <w:spacing w:after="240"/>
        <w:jc w:val="center"/>
      </w:pPr>
      <w:r>
        <w:rPr>
          <w:i/>
          <w:iCs/>
          <w:color w:val="5A6685"/>
          <w:sz w:val="24"/>
          <w:szCs w:val="24"/>
        </w:rPr>
        <w:t xml:space="preserve">From a WhatsApp property forward to the right student — in four screens.</w:t>
      </w:r>
    </w:p>
    <w:p>
      <w:pPr>
        <w:spacing w:after="120"/>
      </w:pPr>
    </w:p>
    <w:tbl>
      <w:tblPr>
        <w:tblW w:type="dxa" w:w="7200"/>
        <w:jc w:val="center"/>
        <w:tblBorders>
          <w:top w:val="single" w:color="ECD9C8" w:sz="2"/>
          <w:left w:val="single" w:color="ECD9C8" w:sz="2"/>
          <w:bottom w:val="single" w:color="ECD9C8" w:sz="2"/>
          <w:right w:val="single" w:color="ECD9C8" w:sz="2"/>
          <w:insideH w:val="single" w:color="ECD9C8" w:sz="2"/>
          <w:insideV w:val="single" w:color="ECD9C8" w:sz="2"/>
        </w:tblBorders>
      </w:tblPr>
      <w:tblGrid>
        <w:gridCol w:w="2400"/>
        <w:gridCol w:w="4800"/>
      </w:tblGrid>
      <w:tr>
        <w:tc>
          <w:tcPr>
            <w:tcW w:type="dxa" w:w="2400"/>
            <w:shd w:fill="FFF5EC" w:val="clear"/>
            <w:tcMar>
              <w:top w:type="dxa" w:w="90"/>
              <w:left w:type="dxa" w:w="130"/>
              <w:bottom w:type="dxa" w:w="90"/>
              <w:right w:type="dxa" w:w="130"/>
            </w:tcMar>
          </w:tcPr>
          <w:p>
            <w:pPr>
              <w:spacing w:after="0" w:line="280"/>
            </w:pPr>
            <w:r>
              <w:rPr>
                <w:b/>
                <w:bCs/>
                <w:color w:val="041F60"/>
                <w:sz w:val="20"/>
                <w:szCs w:val="20"/>
              </w:rPr>
              <w:t xml:space="preserve">Project</w:t>
            </w:r>
          </w:p>
        </w:tc>
        <w:tc>
          <w:tcPr>
            <w:tcW w:type="dxa" w:w="4800"/>
            <w:shd w:fill="FFF5EC" w:val="clear"/>
            <w:tcMar>
              <w:top w:type="dxa" w:w="90"/>
              <w:left w:type="dxa" w:w="130"/>
              <w:bottom w:type="dxa" w:w="90"/>
              <w:right w:type="dxa" w:w="130"/>
            </w:tcMar>
          </w:tcPr>
          <w:p>
            <w:pPr>
              <w:spacing w:after="0" w:line="280"/>
            </w:pPr>
            <w:r>
              <w:rPr>
                <w:color w:val="041F60"/>
                <w:sz w:val="20"/>
                <w:szCs w:val="20"/>
              </w:rPr>
              <w:t xml:space="preserve">hommies-portal</w:t>
            </w:r>
          </w:p>
        </w:tc>
      </w:tr>
      <w:tr>
        <w:tc>
          <w:tcPr>
            <w:tcW w:type="dxa" w:w="2400"/>
            <w:shd w:fill="FFFFFF" w:val="clear"/>
            <w:tcMar>
              <w:top w:type="dxa" w:w="90"/>
              <w:left w:type="dxa" w:w="130"/>
              <w:bottom w:type="dxa" w:w="90"/>
              <w:right w:type="dxa" w:w="130"/>
            </w:tcMar>
          </w:tcPr>
          <w:p>
            <w:pPr>
              <w:spacing w:after="0" w:line="280"/>
            </w:pPr>
            <w:r>
              <w:rPr>
                <w:b/>
                <w:bCs/>
                <w:color w:val="041F60"/>
                <w:sz w:val="20"/>
                <w:szCs w:val="20"/>
              </w:rPr>
              <w:t xml:space="preserve">Type</w:t>
            </w:r>
          </w:p>
        </w:tc>
        <w:tc>
          <w:tcPr>
            <w:tcW w:type="dxa" w:w="4800"/>
            <w:shd w:fill="FFFFFF" w:val="clear"/>
            <w:tcMar>
              <w:top w:type="dxa" w:w="90"/>
              <w:left w:type="dxa" w:w="130"/>
              <w:bottom w:type="dxa" w:w="90"/>
              <w:right w:type="dxa" w:w="130"/>
            </w:tcMar>
          </w:tcPr>
          <w:p>
            <w:pPr>
              <w:spacing w:after="0" w:line="280"/>
            </w:pPr>
            <w:r>
              <w:rPr>
                <w:color w:val="041F60"/>
                <w:sz w:val="20"/>
                <w:szCs w:val="20"/>
              </w:rPr>
              <w:t xml:space="preserve">opsx:propose — internal tooling</w:t>
            </w:r>
          </w:p>
        </w:tc>
      </w:tr>
      <w:tr>
        <w:tc>
          <w:tcPr>
            <w:tcW w:type="dxa" w:w="2400"/>
            <w:shd w:fill="FFF5EC" w:val="clear"/>
            <w:tcMar>
              <w:top w:type="dxa" w:w="90"/>
              <w:left w:type="dxa" w:w="130"/>
              <w:bottom w:type="dxa" w:w="90"/>
              <w:right w:type="dxa" w:w="130"/>
            </w:tcMar>
          </w:tcPr>
          <w:p>
            <w:pPr>
              <w:spacing w:after="0" w:line="280"/>
            </w:pPr>
            <w:r>
              <w:rPr>
                <w:b/>
                <w:bCs/>
                <w:color w:val="041F60"/>
                <w:sz w:val="20"/>
                <w:szCs w:val="20"/>
              </w:rPr>
              <w:t xml:space="preserve">Owner</w:t>
            </w:r>
          </w:p>
        </w:tc>
        <w:tc>
          <w:tcPr>
            <w:tcW w:type="dxa" w:w="4800"/>
            <w:shd w:fill="FFF5EC" w:val="clear"/>
            <w:tcMar>
              <w:top w:type="dxa" w:w="90"/>
              <w:left w:type="dxa" w:w="130"/>
              <w:bottom w:type="dxa" w:w="90"/>
              <w:right w:type="dxa" w:w="130"/>
            </w:tcMar>
          </w:tcPr>
          <w:p>
            <w:pPr>
              <w:spacing w:after="0" w:line="280"/>
            </w:pPr>
            <w:r>
              <w:rPr>
                <w:color w:val="041F60"/>
                <w:sz w:val="20"/>
                <w:szCs w:val="20"/>
              </w:rPr>
              <w:t xml:space="preserve">Hommies.sg operations</w:t>
            </w:r>
          </w:p>
        </w:tc>
      </w:tr>
      <w:tr>
        <w:tc>
          <w:tcPr>
            <w:tcW w:type="dxa" w:w="2400"/>
            <w:shd w:fill="FFFFFF" w:val="clear"/>
            <w:tcMar>
              <w:top w:type="dxa" w:w="90"/>
              <w:left w:type="dxa" w:w="130"/>
              <w:bottom w:type="dxa" w:w="90"/>
              <w:right w:type="dxa" w:w="130"/>
            </w:tcMar>
          </w:tcPr>
          <w:p>
            <w:pPr>
              <w:spacing w:after="0" w:line="280"/>
            </w:pPr>
            <w:r>
              <w:rPr>
                <w:b/>
                <w:bCs/>
                <w:color w:val="041F60"/>
                <w:sz w:val="20"/>
                <w:szCs w:val="20"/>
              </w:rPr>
              <w:t xml:space="preserve">Status</w:t>
            </w:r>
          </w:p>
        </w:tc>
        <w:tc>
          <w:tcPr>
            <w:tcW w:type="dxa" w:w="4800"/>
            <w:shd w:fill="FFFFFF" w:val="clear"/>
            <w:tcMar>
              <w:top w:type="dxa" w:w="90"/>
              <w:left w:type="dxa" w:w="130"/>
              <w:bottom w:type="dxa" w:w="90"/>
              <w:right w:type="dxa" w:w="130"/>
            </w:tcMar>
          </w:tcPr>
          <w:p>
            <w:pPr>
              <w:spacing w:after="0" w:line="280"/>
            </w:pPr>
            <w:r>
              <w:rPr>
                <w:color w:val="041F60"/>
                <w:sz w:val="20"/>
                <w:szCs w:val="20"/>
              </w:rPr>
              <w:t xml:space="preserve">Proposed — logic core built, UI mocked, ready to build</w:t>
            </w:r>
          </w:p>
        </w:tc>
      </w:tr>
      <w:tr>
        <w:tc>
          <w:tcPr>
            <w:tcW w:type="dxa" w:w="2400"/>
            <w:shd w:fill="FFF5EC" w:val="clear"/>
            <w:tcMar>
              <w:top w:type="dxa" w:w="90"/>
              <w:left w:type="dxa" w:w="130"/>
              <w:bottom w:type="dxa" w:w="90"/>
              <w:right w:type="dxa" w:w="130"/>
            </w:tcMar>
          </w:tcPr>
          <w:p>
            <w:pPr>
              <w:spacing w:after="0" w:line="280"/>
            </w:pPr>
            <w:r>
              <w:rPr>
                <w:b/>
                <w:bCs/>
                <w:color w:val="041F60"/>
                <w:sz w:val="20"/>
                <w:szCs w:val="20"/>
              </w:rPr>
              <w:t xml:space="preserve">Builds on</w:t>
            </w:r>
          </w:p>
        </w:tc>
        <w:tc>
          <w:tcPr>
            <w:tcW w:type="dxa" w:w="4800"/>
            <w:shd w:fill="FFF5EC" w:val="clear"/>
            <w:tcMar>
              <w:top w:type="dxa" w:w="90"/>
              <w:left w:type="dxa" w:w="130"/>
              <w:bottom w:type="dxa" w:w="90"/>
              <w:right w:type="dxa" w:w="130"/>
            </w:tcMar>
          </w:tcPr>
          <w:p>
            <w:pPr>
              <w:spacing w:after="0" w:line="280"/>
            </w:pPr>
            <w:r>
              <w:rPr>
                <w:color w:val="041F60"/>
                <w:sz w:val="20"/>
                <w:szCs w:val="20"/>
              </w:rPr>
              <w:t xml:space="preserve">room-showcase-pdf skill</w:t>
            </w:r>
          </w:p>
        </w:tc>
      </w:tr>
    </w:tbl>
    <w:p>
      <w:r>
        <w:br w:type="page"/>
      </w:r>
    </w:p>
    <w:p>
      <w:pPr>
        <w:pStyle w:val="Heading1"/>
      </w:pPr>
      <w:r>
        <w:t xml:space="preserve">1.  The problem</w:t>
      </w:r>
    </w:p>
    <w:p>
      <w:pPr>
        <w:spacing w:after="120" w:line="300"/>
      </w:pPr>
      <w:r>
        <w:t xml:space="preserve">Hommies.sg sits between international students and authorized leasing agents. We are </w:t>
      </w:r>
      <w:r>
        <w:rPr>
          <w:b/>
          <w:bCs/>
        </w:rPr>
        <w:t xml:space="preserve">not agents</w:t>
      </w:r>
      <w:r>
        <w:t xml:space="preserve"> — we are the trusted third party who understands student lifestyle and points each student toward a home that actually fits. Today that judgement lives in one person’s head and across scattered tools.</w:t>
      </w:r>
    </w:p>
    <w:p>
      <w:pPr>
        <w:spacing w:after="120" w:line="300"/>
      </w:pPr>
      <w:r>
        <w:t xml:space="preserve">Two recurring frictions slow the operation down:</w:t>
      </w:r>
    </w:p>
    <w:p>
      <w:pPr>
        <w:pStyle w:val="ListParagraph"/>
        <w:numPr>
          <w:ilvl w:val="0"/>
          <w:numId w:val="2"/>
        </w:numPr>
        <w:spacing w:after="60" w:line="290"/>
      </w:pPr>
      <w:r>
        <w:rPr>
          <w:b/>
          <w:bCs/>
        </w:rPr>
        <w:t xml:space="preserve">Property data arrives as a mess. </w:t>
      </w:r>
      <w:r>
        <w:t xml:space="preserve">Agents forward listings over WhatsApp — a burst of photos, a PropertyGuru link, sometimes a video. There is no structured record; the same forward gets re-read every time someone asks about that unit.</w:t>
      </w:r>
    </w:p>
    <w:p>
      <w:pPr>
        <w:pStyle w:val="ListParagraph"/>
        <w:numPr>
          <w:ilvl w:val="0"/>
          <w:numId w:val="2"/>
        </w:numPr>
        <w:spacing w:after="60" w:line="290"/>
      </w:pPr>
      <w:r>
        <w:rPr>
          <w:b/>
          <w:bCs/>
        </w:rPr>
        <w:t xml:space="preserve">Matching is manual and easy to get wrong. </w:t>
      </w:r>
      <w:r>
        <w:t xml:space="preserve">We collect student preferences through a bilingual Google Form, but deciding who should receive which property is done by eye. That risks either blasting a listing to everyone (which erodes trust) or missing the student it was perfect for.</w:t>
      </w:r>
    </w:p>
    <w:p>
      <w:pPr>
        <w:spacing w:after="120" w:line="300"/>
      </w:pPr>
      <w:r>
        <w:t xml:space="preserve">The portal fixes both: it turns the WhatsApp mess into a clean, reusable property record </w:t>
      </w:r>
      <w:r>
        <w:t xml:space="preserve">and</w:t>
      </w:r>
      <w:r>
        <w:t xml:space="preserve"> applies consistent decision logic to say — for each property — exactly who to send it to and who to hold back.</w:t>
      </w:r>
    </w:p>
    <w:p>
      <w:pPr>
        <w:pStyle w:val="Heading1"/>
      </w:pPr>
      <w:r>
        <w:t xml:space="preserve">2.  What we’re building</w:t>
      </w:r>
    </w:p>
    <w:p>
      <w:pPr>
        <w:spacing w:after="120" w:line="300"/>
      </w:pPr>
      <w:r>
        <w:t xml:space="preserve">A focused internal web portal — </w:t>
      </w:r>
      <w:r>
        <w:rPr>
          <w:b/>
          <w:bCs/>
        </w:rPr>
        <w:t xml:space="preserve">four screens</w:t>
      </w:r>
      <w:r>
        <w:t xml:space="preserve">, in workflow order. It is single-admin and runs locally; no student-facing surface, no public deployment in v1.</w:t>
      </w:r>
    </w:p>
    <w:p>
      <w:pPr>
        <w:pStyle w:val="Heading2"/>
      </w:pPr>
      <w:r>
        <w:t xml:space="preserve">The four screens</w:t>
      </w:r>
    </w:p>
    <w:tbl>
      <w:tblPr>
        <w:tblW w:type="dxa" w:w="9360"/>
        <w:tblBorders>
          <w:top w:val="single" w:color="ECD9C8" w:sz="2"/>
          <w:left w:val="single" w:color="ECD9C8" w:sz="2"/>
          <w:bottom w:val="single" w:color="ECD9C8" w:sz="2"/>
          <w:right w:val="single" w:color="ECD9C8" w:sz="2"/>
          <w:insideH w:val="single" w:color="ECD9C8" w:sz="2"/>
          <w:insideV w:val="single" w:color="ECD9C8" w:sz="2"/>
        </w:tblBorders>
      </w:tblPr>
      <w:tblGrid>
        <w:gridCol w:w="560"/>
        <w:gridCol w:w="2200"/>
        <w:gridCol w:w="6600"/>
      </w:tblGrid>
      <w:tr>
        <w:trPr>
          <w:tblHeader/>
        </w:trPr>
        <w:tc>
          <w:tcPr>
            <w:tcW w:type="dxa" w:w="560"/>
            <w:shd w:fill="041F60" w:val="clear"/>
            <w:tcMar>
              <w:top w:type="dxa" w:w="90"/>
              <w:left w:type="dxa" w:w="130"/>
              <w:bottom w:type="dxa" w:w="90"/>
              <w:right w:type="dxa" w:w="130"/>
            </w:tcMar>
          </w:tcPr>
          <w:p>
            <w:pPr>
              <w:spacing w:after="0" w:line="280"/>
            </w:pPr>
            <w:r>
              <w:rPr>
                <w:b/>
                <w:bCs/>
                <w:color w:val="FFFFFF"/>
                <w:sz w:val="20"/>
                <w:szCs w:val="20"/>
              </w:rPr>
              <w:t xml:space="preserve">#</w:t>
            </w:r>
          </w:p>
        </w:tc>
        <w:tc>
          <w:tcPr>
            <w:tcW w:type="dxa" w:w="2200"/>
            <w:shd w:fill="041F60" w:val="clear"/>
            <w:tcMar>
              <w:top w:type="dxa" w:w="90"/>
              <w:left w:type="dxa" w:w="130"/>
              <w:bottom w:type="dxa" w:w="90"/>
              <w:right w:type="dxa" w:w="130"/>
            </w:tcMar>
          </w:tcPr>
          <w:p>
            <w:pPr>
              <w:spacing w:after="0" w:line="280"/>
            </w:pPr>
            <w:r>
              <w:rPr>
                <w:b/>
                <w:bCs/>
                <w:color w:val="FFFFFF"/>
                <w:sz w:val="20"/>
                <w:szCs w:val="20"/>
              </w:rPr>
              <w:t xml:space="preserve">Screen</w:t>
            </w:r>
          </w:p>
        </w:tc>
        <w:tc>
          <w:tcPr>
            <w:tcW w:type="dxa" w:w="6600"/>
            <w:shd w:fill="041F60" w:val="clear"/>
            <w:tcMar>
              <w:top w:type="dxa" w:w="90"/>
              <w:left w:type="dxa" w:w="130"/>
              <w:bottom w:type="dxa" w:w="90"/>
              <w:right w:type="dxa" w:w="130"/>
            </w:tcMar>
          </w:tcPr>
          <w:p>
            <w:pPr>
              <w:spacing w:after="0" w:line="280"/>
            </w:pPr>
            <w:r>
              <w:rPr>
                <w:b/>
                <w:bCs/>
                <w:color w:val="FFFFFF"/>
                <w:sz w:val="20"/>
                <w:szCs w:val="20"/>
              </w:rPr>
              <w:t xml:space="preserve">What it does</w:t>
            </w:r>
          </w:p>
        </w:tc>
      </w:tr>
      <w:tr>
        <w:tc>
          <w:tcPr>
            <w:tcW w:type="dxa" w:w="560"/>
            <w:shd w:fill="FFF5EC" w:val="clear"/>
            <w:tcMar>
              <w:top w:type="dxa" w:w="90"/>
              <w:left w:type="dxa" w:w="130"/>
              <w:bottom w:type="dxa" w:w="90"/>
              <w:right w:type="dxa" w:w="130"/>
            </w:tcMar>
          </w:tcPr>
          <w:p>
            <w:pPr>
              <w:spacing w:after="0" w:line="280"/>
            </w:pPr>
            <w:r>
              <w:rPr>
                <w:color w:val="041F60"/>
                <w:sz w:val="20"/>
                <w:szCs w:val="20"/>
              </w:rPr>
              <w:t xml:space="preserve">1</w:t>
            </w:r>
          </w:p>
        </w:tc>
        <w:tc>
          <w:tcPr>
            <w:tcW w:type="dxa" w:w="2200"/>
            <w:shd w:fill="FFF5EC" w:val="clear"/>
            <w:tcMar>
              <w:top w:type="dxa" w:w="90"/>
              <w:left w:type="dxa" w:w="130"/>
              <w:bottom w:type="dxa" w:w="90"/>
              <w:right w:type="dxa" w:w="130"/>
            </w:tcMar>
          </w:tcPr>
          <w:p>
            <w:pPr>
              <w:spacing w:after="0" w:line="280"/>
            </w:pPr>
            <w:r>
              <w:rPr>
                <w:color w:val="041F60"/>
                <w:sz w:val="20"/>
                <w:szCs w:val="20"/>
              </w:rPr>
              <w:t xml:space="preserve">Add Property</w:t>
            </w:r>
          </w:p>
        </w:tc>
        <w:tc>
          <w:tcPr>
            <w:tcW w:type="dxa" w:w="6600"/>
            <w:shd w:fill="FFF5EC" w:val="clear"/>
            <w:tcMar>
              <w:top w:type="dxa" w:w="90"/>
              <w:left w:type="dxa" w:w="130"/>
              <w:bottom w:type="dxa" w:w="90"/>
              <w:right w:type="dxa" w:w="130"/>
            </w:tcMar>
          </w:tcPr>
          <w:p>
            <w:pPr>
              <w:spacing w:after="0" w:line="280"/>
            </w:pPr>
            <w:r>
              <w:rPr>
                <w:color w:val="041F60"/>
                <w:sz w:val="20"/>
                <w:szCs w:val="20"/>
              </w:rPr>
              <w:t xml:space="preserve">The front door. Enter the property record from the agent’s WhatsApp forward — condo / HDB name, area, building type, age, room type, rent — and attach the poster PDF (made separately in the Claude chat app via the room-showcase-pdf skill). Photos, links, and video are recorded against the property.</w:t>
            </w:r>
          </w:p>
        </w:tc>
      </w:tr>
      <w:tr>
        <w:tc>
          <w:tcPr>
            <w:tcW w:type="dxa" w:w="560"/>
            <w:tcMar>
              <w:top w:type="dxa" w:w="90"/>
              <w:left w:type="dxa" w:w="130"/>
              <w:bottom w:type="dxa" w:w="90"/>
              <w:right w:type="dxa" w:w="130"/>
            </w:tcMar>
          </w:tcPr>
          <w:p>
            <w:pPr>
              <w:spacing w:after="0" w:line="280"/>
            </w:pPr>
            <w:r>
              <w:rPr>
                <w:color w:val="041F60"/>
                <w:sz w:val="20"/>
                <w:szCs w:val="20"/>
              </w:rPr>
              <w:t xml:space="preserve">2</w:t>
            </w:r>
          </w:p>
        </w:tc>
        <w:tc>
          <w:tcPr>
            <w:tcW w:type="dxa" w:w="2200"/>
            <w:tcMar>
              <w:top w:type="dxa" w:w="90"/>
              <w:left w:type="dxa" w:w="130"/>
              <w:bottom w:type="dxa" w:w="90"/>
              <w:right w:type="dxa" w:w="130"/>
            </w:tcMar>
          </w:tcPr>
          <w:p>
            <w:pPr>
              <w:spacing w:after="0" w:line="280"/>
            </w:pPr>
            <w:r>
              <w:rPr>
                <w:color w:val="041F60"/>
                <w:sz w:val="20"/>
                <w:szCs w:val="20"/>
              </w:rPr>
              <w:t xml:space="preserve">Status</w:t>
            </w:r>
          </w:p>
        </w:tc>
        <w:tc>
          <w:tcPr>
            <w:tcW w:type="dxa" w:w="6600"/>
            <w:tcMar>
              <w:top w:type="dxa" w:w="90"/>
              <w:left w:type="dxa" w:w="130"/>
              <w:bottom w:type="dxa" w:w="90"/>
              <w:right w:type="dxa" w:w="130"/>
            </w:tcMar>
          </w:tcPr>
          <w:p>
            <w:pPr>
              <w:spacing w:after="0" w:line="280"/>
            </w:pPr>
            <w:r>
              <w:rPr>
                <w:color w:val="041F60"/>
                <w:sz w:val="20"/>
                <w:szCs w:val="20"/>
              </w:rPr>
              <w:t xml:space="preserve">Every property as a row with a three-step progress track: Data received → Poster attached → Sent. Tells the admin what is waiting on them.</w:t>
            </w:r>
          </w:p>
        </w:tc>
      </w:tr>
      <w:tr>
        <w:tc>
          <w:tcPr>
            <w:tcW w:type="dxa" w:w="560"/>
            <w:shd w:fill="FFF5EC" w:val="clear"/>
            <w:tcMar>
              <w:top w:type="dxa" w:w="90"/>
              <w:left w:type="dxa" w:w="130"/>
              <w:bottom w:type="dxa" w:w="90"/>
              <w:right w:type="dxa" w:w="130"/>
            </w:tcMar>
          </w:tcPr>
          <w:p>
            <w:pPr>
              <w:spacing w:after="0" w:line="280"/>
            </w:pPr>
            <w:r>
              <w:rPr>
                <w:color w:val="041F60"/>
                <w:sz w:val="20"/>
                <w:szCs w:val="20"/>
              </w:rPr>
              <w:t xml:space="preserve">3</w:t>
            </w:r>
          </w:p>
        </w:tc>
        <w:tc>
          <w:tcPr>
            <w:tcW w:type="dxa" w:w="2200"/>
            <w:shd w:fill="FFF5EC" w:val="clear"/>
            <w:tcMar>
              <w:top w:type="dxa" w:w="90"/>
              <w:left w:type="dxa" w:w="130"/>
              <w:bottom w:type="dxa" w:w="90"/>
              <w:right w:type="dxa" w:w="130"/>
            </w:tcMar>
          </w:tcPr>
          <w:p>
            <w:pPr>
              <w:spacing w:after="0" w:line="280"/>
            </w:pPr>
            <w:r>
              <w:rPr>
                <w:color w:val="041F60"/>
                <w:sz w:val="20"/>
                <w:szCs w:val="20"/>
              </w:rPr>
              <w:t xml:space="preserve">Recommend</w:t>
            </w:r>
          </w:p>
        </w:tc>
        <w:tc>
          <w:tcPr>
            <w:tcW w:type="dxa" w:w="6600"/>
            <w:shd w:fill="FFF5EC" w:val="clear"/>
            <w:tcMar>
              <w:top w:type="dxa" w:w="90"/>
              <w:left w:type="dxa" w:w="130"/>
              <w:bottom w:type="dxa" w:w="90"/>
              <w:right w:type="dxa" w:w="130"/>
            </w:tcMar>
          </w:tcPr>
          <w:p>
            <w:pPr>
              <w:spacing w:after="0" w:line="280"/>
            </w:pPr>
            <w:r>
              <w:rPr>
                <w:color w:val="041F60"/>
                <w:sz w:val="20"/>
                <w:szCs w:val="20"/>
              </w:rPr>
              <w:t xml:space="preserve">The decision engine. Pick a property; the portal runs every Google Form response through the logic and returns a binary verdict — Send or Don’t send — with the reason. Each “Send” gets a drafted, bilingual Line / Instagram message to accompany the poster.</w:t>
            </w:r>
          </w:p>
        </w:tc>
      </w:tr>
      <w:tr>
        <w:tc>
          <w:tcPr>
            <w:tcW w:type="dxa" w:w="560"/>
            <w:tcMar>
              <w:top w:type="dxa" w:w="90"/>
              <w:left w:type="dxa" w:w="130"/>
              <w:bottom w:type="dxa" w:w="90"/>
              <w:right w:type="dxa" w:w="130"/>
            </w:tcMar>
          </w:tcPr>
          <w:p>
            <w:pPr>
              <w:spacing w:after="0" w:line="280"/>
            </w:pPr>
            <w:r>
              <w:rPr>
                <w:color w:val="041F60"/>
                <w:sz w:val="20"/>
                <w:szCs w:val="20"/>
              </w:rPr>
              <w:t xml:space="preserve">4</w:t>
            </w:r>
          </w:p>
        </w:tc>
        <w:tc>
          <w:tcPr>
            <w:tcW w:type="dxa" w:w="2200"/>
            <w:tcMar>
              <w:top w:type="dxa" w:w="90"/>
              <w:left w:type="dxa" w:w="130"/>
              <w:bottom w:type="dxa" w:w="90"/>
              <w:right w:type="dxa" w:w="130"/>
            </w:tcMar>
          </w:tcPr>
          <w:p>
            <w:pPr>
              <w:spacing w:after="0" w:line="280"/>
            </w:pPr>
            <w:r>
              <w:rPr>
                <w:color w:val="041F60"/>
                <w:sz w:val="20"/>
                <w:szCs w:val="20"/>
              </w:rPr>
              <w:t xml:space="preserve">Listings</w:t>
            </w:r>
          </w:p>
        </w:tc>
        <w:tc>
          <w:tcPr>
            <w:tcW w:type="dxa" w:w="6600"/>
            <w:tcMar>
              <w:top w:type="dxa" w:w="90"/>
              <w:left w:type="dxa" w:w="130"/>
              <w:bottom w:type="dxa" w:w="90"/>
              <w:right w:type="dxa" w:w="130"/>
            </w:tcMar>
          </w:tcPr>
          <w:p>
            <w:pPr>
              <w:spacing w:after="0" w:line="280"/>
            </w:pPr>
            <w:r>
              <w:rPr>
                <w:color w:val="041F60"/>
                <w:sz w:val="20"/>
                <w:szCs w:val="20"/>
              </w:rPr>
              <w:t xml:space="preserve">Card-based inventory of every property we hold. Each card shows room type, location &amp; area, Condo or HDB, and age of the building — filterable, with poster and dispatch status.</w:t>
            </w:r>
          </w:p>
        </w:tc>
      </w:tr>
    </w:tbl>
    <w:p>
      <w:pPr>
        <w:spacing w:after="120"/>
      </w:pPr>
    </w:p>
    <w:tbl>
      <w:tblPr>
        <w:tblW w:type="dxa" w:w="9360"/>
        <w:tblBorders>
          <w:top w:val="single" w:color="ECD9C8" w:sz="2"/>
          <w:left w:val="single" w:color="FD6925" w:sz="18"/>
          <w:bottom w:val="single" w:color="ECD9C8" w:sz="2"/>
          <w:right w:val="single" w:color="ECD9C8" w:sz="2"/>
          <w:insideH w:val="single" w:color="auto" w:sz="4"/>
          <w:insideV w:val="single" w:color="auto" w:sz="4"/>
        </w:tblBorders>
      </w:tblPr>
      <w:tblGrid>
        <w:gridCol w:w="9360"/>
      </w:tblGrid>
      <w:tr>
        <w:tc>
          <w:tcPr>
            <w:tcW w:type="dxa" w:w="9360"/>
            <w:shd w:fill="FFF5EC" w:val="clear"/>
            <w:tcMar>
              <w:top w:type="dxa" w:w="130"/>
              <w:left w:type="dxa" w:w="170"/>
              <w:bottom w:type="dxa" w:w="130"/>
              <w:right w:type="dxa" w:w="150"/>
            </w:tcMar>
          </w:tcPr>
          <w:p>
            <w:pPr>
              <w:spacing w:after="60"/>
            </w:pPr>
            <w:r>
              <w:rPr>
                <w:b/>
                <w:bCs/>
                <w:color w:val="FD6925"/>
                <w:sz w:val="21"/>
                <w:szCs w:val="21"/>
              </w:rPr>
              <w:t xml:space="preserve">Why this order</w:t>
            </w:r>
          </w:p>
          <w:p>
            <w:pPr>
              <w:spacing w:after="40" w:line="280"/>
            </w:pPr>
            <w:r>
              <w:rPr>
                <w:color w:val="041F60"/>
                <w:sz w:val="20"/>
                <w:szCs w:val="20"/>
              </w:rPr>
              <w:t xml:space="preserve">The nav order is the workflow. An admin opens the portal already on “Add Property” — getting a property in is the first priority, not a tab buried behind a dashboard. Everything flows left to right from there.</w:t>
            </w:r>
          </w:p>
        </w:tc>
      </w:tr>
    </w:tbl>
    <w:p>
      <w:pPr>
        <w:pStyle w:val="Heading1"/>
      </w:pPr>
      <w:r>
        <w:t xml:space="preserve">3.  Core features</w:t>
      </w:r>
    </w:p>
    <w:p>
      <w:pPr>
        <w:pStyle w:val="Heading2"/>
      </w:pPr>
      <w:r>
        <w:t xml:space="preserve">3.1  Recipient database from the Google Form</w:t>
      </w:r>
    </w:p>
    <w:p>
      <w:pPr>
        <w:spacing w:after="120" w:line="300"/>
      </w:pPr>
      <w:r>
        <w:t xml:space="preserve">The bilingual (中 / EN) intake form has </w:t>
      </w:r>
      <w:r>
        <w:rPr>
          <w:b/>
          <w:bCs/>
        </w:rPr>
        <w:t xml:space="preserve">13 questions</w:t>
      </w:r>
      <w:r>
        <w:t xml:space="preserve">. The portal ingests responses two ways — </w:t>
      </w:r>
      <w:r>
        <w:rPr>
          <w:b/>
          <w:bCs/>
        </w:rPr>
        <w:t xml:space="preserve">upload the Google Form CSV export</w:t>
      </w:r>
      <w:r>
        <w:t xml:space="preserve">, or </w:t>
      </w:r>
      <w:r>
        <w:rPr>
          <w:b/>
          <w:bCs/>
        </w:rPr>
        <w:t xml:space="preserve">add a response manually</w:t>
      </w:r>
      <w:r>
        <w:t xml:space="preserve"> for a walk-in or DM enquiry that never went through the form. Every response is parsed into one clean record.</w:t>
      </w:r>
    </w:p>
    <w:p>
      <w:pPr>
        <w:spacing w:after="120" w:line="300"/>
      </w:pPr>
      <w:r>
        <w:rPr>
          <w:b/>
          <w:bCs/>
          <w:sz w:val="20"/>
          <w:szCs w:val="20"/>
        </w:rPr>
        <w:t xml:space="preserve">The 13 fields, and how each is parsed:</w:t>
      </w:r>
    </w:p>
    <w:tbl>
      <w:tblPr>
        <w:tblW w:type="dxa" w:w="9360"/>
        <w:tblBorders>
          <w:top w:val="single" w:color="ECD9C8" w:sz="2"/>
          <w:left w:val="single" w:color="ECD9C8" w:sz="2"/>
          <w:bottom w:val="single" w:color="ECD9C8" w:sz="2"/>
          <w:right w:val="single" w:color="ECD9C8" w:sz="2"/>
          <w:insideH w:val="single" w:color="ECD9C8" w:sz="2"/>
          <w:insideV w:val="single" w:color="ECD9C8" w:sz="2"/>
        </w:tblBorders>
      </w:tblPr>
      <w:tblGrid>
        <w:gridCol w:w="3100"/>
        <w:gridCol w:w="6260"/>
      </w:tblGrid>
      <w:tr>
        <w:trPr>
          <w:tblHeader/>
        </w:trPr>
        <w:tc>
          <w:tcPr>
            <w:tcW w:type="dxa" w:w="3100"/>
            <w:shd w:fill="041F60" w:val="clear"/>
            <w:tcMar>
              <w:top w:type="dxa" w:w="90"/>
              <w:left w:type="dxa" w:w="130"/>
              <w:bottom w:type="dxa" w:w="90"/>
              <w:right w:type="dxa" w:w="130"/>
            </w:tcMar>
          </w:tcPr>
          <w:p>
            <w:pPr>
              <w:spacing w:after="0" w:line="280"/>
            </w:pPr>
            <w:r>
              <w:rPr>
                <w:b/>
                <w:bCs/>
                <w:color w:val="FFFFFF"/>
                <w:sz w:val="20"/>
                <w:szCs w:val="20"/>
              </w:rPr>
              <w:t xml:space="preserve">Form question (中 | EN)</w:t>
            </w:r>
          </w:p>
        </w:tc>
        <w:tc>
          <w:tcPr>
            <w:tcW w:type="dxa" w:w="6260"/>
            <w:shd w:fill="041F60" w:val="clear"/>
            <w:tcMar>
              <w:top w:type="dxa" w:w="90"/>
              <w:left w:type="dxa" w:w="130"/>
              <w:bottom w:type="dxa" w:w="90"/>
              <w:right w:type="dxa" w:w="130"/>
            </w:tcMar>
          </w:tcPr>
          <w:p>
            <w:pPr>
              <w:spacing w:after="0" w:line="280"/>
            </w:pPr>
            <w:r>
              <w:rPr>
                <w:b/>
                <w:bCs/>
                <w:color w:val="FFFFFF"/>
                <w:sz w:val="20"/>
                <w:szCs w:val="20"/>
              </w:rPr>
              <w:t xml:space="preserve">Parsed into</w:t>
            </w:r>
          </w:p>
        </w:tc>
      </w:tr>
      <w:tr>
        <w:tc>
          <w:tcPr>
            <w:tcW w:type="dxa" w:w="3100"/>
            <w:shd w:fill="FFF5EC" w:val="clear"/>
            <w:tcMar>
              <w:top w:type="dxa" w:w="90"/>
              <w:left w:type="dxa" w:w="130"/>
              <w:bottom w:type="dxa" w:w="90"/>
              <w:right w:type="dxa" w:w="130"/>
            </w:tcMar>
          </w:tcPr>
          <w:p>
            <w:pPr>
              <w:spacing w:after="0" w:line="280"/>
            </w:pPr>
            <w:r>
              <w:rPr>
                <w:color w:val="041F60"/>
                <w:sz w:val="20"/>
                <w:szCs w:val="20"/>
              </w:rPr>
              <w:t xml:space="preserve">姓名 | Full Name</w:t>
            </w:r>
          </w:p>
        </w:tc>
        <w:tc>
          <w:tcPr>
            <w:tcW w:type="dxa" w:w="6260"/>
            <w:shd w:fill="FFF5EC" w:val="clear"/>
            <w:tcMar>
              <w:top w:type="dxa" w:w="90"/>
              <w:left w:type="dxa" w:w="130"/>
              <w:bottom w:type="dxa" w:w="90"/>
              <w:right w:type="dxa" w:w="130"/>
            </w:tcMar>
          </w:tcPr>
          <w:p>
            <w:pPr>
              <w:spacing w:after="0" w:line="280"/>
            </w:pPr>
            <w:r>
              <w:rPr>
                <w:color w:val="041F60"/>
                <w:sz w:val="20"/>
                <w:szCs w:val="20"/>
              </w:rPr>
              <w:t xml:space="preserve">name</w:t>
            </w:r>
          </w:p>
        </w:tc>
      </w:tr>
      <w:tr>
        <w:tc>
          <w:tcPr>
            <w:tcW w:type="dxa" w:w="3100"/>
            <w:tcMar>
              <w:top w:type="dxa" w:w="90"/>
              <w:left w:type="dxa" w:w="130"/>
              <w:bottom w:type="dxa" w:w="90"/>
              <w:right w:type="dxa" w:w="130"/>
            </w:tcMar>
          </w:tcPr>
          <w:p>
            <w:pPr>
              <w:spacing w:after="0" w:line="280"/>
            </w:pPr>
            <w:r>
              <w:rPr>
                <w:color w:val="041F60"/>
                <w:sz w:val="20"/>
                <w:szCs w:val="20"/>
              </w:rPr>
              <w:t xml:space="preserve">聯絡管道 | Preferred Contact Channel</w:t>
            </w:r>
          </w:p>
        </w:tc>
        <w:tc>
          <w:tcPr>
            <w:tcW w:type="dxa" w:w="6260"/>
            <w:tcMar>
              <w:top w:type="dxa" w:w="90"/>
              <w:left w:type="dxa" w:w="130"/>
              <w:bottom w:type="dxa" w:w="90"/>
              <w:right w:type="dxa" w:w="130"/>
            </w:tcMar>
          </w:tcPr>
          <w:p>
            <w:pPr>
              <w:spacing w:after="0" w:line="280"/>
            </w:pPr>
            <w:r>
              <w:rPr>
                <w:color w:val="041F60"/>
                <w:sz w:val="20"/>
                <w:szCs w:val="20"/>
              </w:rPr>
              <w:t xml:space="preserve">channel (Line / Instagram / Facebook)</w:t>
            </w:r>
          </w:p>
        </w:tc>
      </w:tr>
      <w:tr>
        <w:tc>
          <w:tcPr>
            <w:tcW w:type="dxa" w:w="3100"/>
            <w:shd w:fill="FFF5EC" w:val="clear"/>
            <w:tcMar>
              <w:top w:type="dxa" w:w="90"/>
              <w:left w:type="dxa" w:w="130"/>
              <w:bottom w:type="dxa" w:w="90"/>
              <w:right w:type="dxa" w:w="130"/>
            </w:tcMar>
          </w:tcPr>
          <w:p>
            <w:pPr>
              <w:spacing w:after="0" w:line="280"/>
            </w:pPr>
            <w:r>
              <w:rPr>
                <w:color w:val="041F60"/>
                <w:sz w:val="20"/>
                <w:szCs w:val="20"/>
              </w:rPr>
              <w:t xml:space="preserve">聯絡方式 | Contact Details</w:t>
            </w:r>
          </w:p>
        </w:tc>
        <w:tc>
          <w:tcPr>
            <w:tcW w:type="dxa" w:w="6260"/>
            <w:shd w:fill="FFF5EC" w:val="clear"/>
            <w:tcMar>
              <w:top w:type="dxa" w:w="90"/>
              <w:left w:type="dxa" w:w="130"/>
              <w:bottom w:type="dxa" w:w="90"/>
              <w:right w:type="dxa" w:w="130"/>
            </w:tcMar>
          </w:tcPr>
          <w:p>
            <w:pPr>
              <w:spacing w:after="0" w:line="280"/>
            </w:pPr>
            <w:r>
              <w:rPr>
                <w:color w:val="041F60"/>
                <w:sz w:val="20"/>
                <w:szCs w:val="20"/>
              </w:rPr>
              <w:t xml:space="preserve">contact handle</w:t>
            </w:r>
          </w:p>
        </w:tc>
      </w:tr>
      <w:tr>
        <w:tc>
          <w:tcPr>
            <w:tcW w:type="dxa" w:w="3100"/>
            <w:tcMar>
              <w:top w:type="dxa" w:w="90"/>
              <w:left w:type="dxa" w:w="130"/>
              <w:bottom w:type="dxa" w:w="90"/>
              <w:right w:type="dxa" w:w="130"/>
            </w:tcMar>
          </w:tcPr>
          <w:p>
            <w:pPr>
              <w:spacing w:after="0" w:line="280"/>
            </w:pPr>
            <w:r>
              <w:rPr>
                <w:color w:val="041F60"/>
                <w:sz w:val="20"/>
                <w:szCs w:val="20"/>
              </w:rPr>
              <w:t xml:space="preserve">就讀學校 | University / School</w:t>
            </w:r>
          </w:p>
        </w:tc>
        <w:tc>
          <w:tcPr>
            <w:tcW w:type="dxa" w:w="6260"/>
            <w:tcMar>
              <w:top w:type="dxa" w:w="90"/>
              <w:left w:type="dxa" w:w="130"/>
              <w:bottom w:type="dxa" w:w="90"/>
              <w:right w:type="dxa" w:w="130"/>
            </w:tcMar>
          </w:tcPr>
          <w:p>
            <w:pPr>
              <w:spacing w:after="0" w:line="280"/>
            </w:pPr>
            <w:r>
              <w:rPr>
                <w:color w:val="041F60"/>
                <w:sz w:val="20"/>
                <w:szCs w:val="20"/>
              </w:rPr>
              <w:t xml:space="preserve">school → NUS / NTU / SMU / OTHER (recognises 中 &amp; EN names)</w:t>
            </w:r>
          </w:p>
        </w:tc>
      </w:tr>
      <w:tr>
        <w:tc>
          <w:tcPr>
            <w:tcW w:type="dxa" w:w="3100"/>
            <w:shd w:fill="FFF5EC" w:val="clear"/>
            <w:tcMar>
              <w:top w:type="dxa" w:w="90"/>
              <w:left w:type="dxa" w:w="130"/>
              <w:bottom w:type="dxa" w:w="90"/>
              <w:right w:type="dxa" w:w="130"/>
            </w:tcMar>
          </w:tcPr>
          <w:p>
            <w:pPr>
              <w:spacing w:after="0" w:line="280"/>
            </w:pPr>
            <w:r>
              <w:rPr>
                <w:color w:val="041F60"/>
                <w:sz w:val="20"/>
                <w:szCs w:val="20"/>
              </w:rPr>
              <w:t xml:space="preserve">預計入住日期 | Expected Move-in Date</w:t>
            </w:r>
          </w:p>
        </w:tc>
        <w:tc>
          <w:tcPr>
            <w:tcW w:type="dxa" w:w="6260"/>
            <w:shd w:fill="FFF5EC" w:val="clear"/>
            <w:tcMar>
              <w:top w:type="dxa" w:w="90"/>
              <w:left w:type="dxa" w:w="130"/>
              <w:bottom w:type="dxa" w:w="90"/>
              <w:right w:type="dxa" w:w="130"/>
            </w:tcMar>
          </w:tcPr>
          <w:p>
            <w:pPr>
              <w:spacing w:after="0" w:line="280"/>
            </w:pPr>
            <w:r>
              <w:rPr>
                <w:color w:val="041F60"/>
                <w:sz w:val="20"/>
                <w:szCs w:val="20"/>
              </w:rPr>
              <w:t xml:space="preserve">moveIn date</w:t>
            </w:r>
          </w:p>
        </w:tc>
      </w:tr>
      <w:tr>
        <w:tc>
          <w:tcPr>
            <w:tcW w:type="dxa" w:w="3100"/>
            <w:tcMar>
              <w:top w:type="dxa" w:w="90"/>
              <w:left w:type="dxa" w:w="130"/>
              <w:bottom w:type="dxa" w:w="90"/>
              <w:right w:type="dxa" w:w="130"/>
            </w:tcMar>
          </w:tcPr>
          <w:p>
            <w:pPr>
              <w:spacing w:after="0" w:line="280"/>
            </w:pPr>
            <w:r>
              <w:rPr>
                <w:color w:val="041F60"/>
                <w:sz w:val="20"/>
                <w:szCs w:val="20"/>
              </w:rPr>
              <w:t xml:space="preserve">預計租約長度 | Lease Duration</w:t>
            </w:r>
          </w:p>
        </w:tc>
        <w:tc>
          <w:tcPr>
            <w:tcW w:type="dxa" w:w="6260"/>
            <w:tcMar>
              <w:top w:type="dxa" w:w="90"/>
              <w:left w:type="dxa" w:w="130"/>
              <w:bottom w:type="dxa" w:w="90"/>
              <w:right w:type="dxa" w:w="130"/>
            </w:tcMar>
          </w:tcPr>
          <w:p>
            <w:pPr>
              <w:spacing w:after="0" w:line="280"/>
            </w:pPr>
            <w:r>
              <w:rPr>
                <w:color w:val="041F60"/>
                <w:sz w:val="20"/>
                <w:szCs w:val="20"/>
              </w:rPr>
              <w:t xml:space="preserve">leaseLength</w:t>
            </w:r>
          </w:p>
        </w:tc>
      </w:tr>
      <w:tr>
        <w:tc>
          <w:tcPr>
            <w:tcW w:type="dxa" w:w="3100"/>
            <w:shd w:fill="FFF5EC" w:val="clear"/>
            <w:tcMar>
              <w:top w:type="dxa" w:w="90"/>
              <w:left w:type="dxa" w:w="130"/>
              <w:bottom w:type="dxa" w:w="90"/>
              <w:right w:type="dxa" w:w="130"/>
            </w:tcMar>
          </w:tcPr>
          <w:p>
            <w:pPr>
              <w:spacing w:after="0" w:line="280"/>
            </w:pPr>
            <w:r>
              <w:rPr>
                <w:color w:val="041F60"/>
                <w:sz w:val="20"/>
                <w:szCs w:val="20"/>
              </w:rPr>
              <w:t xml:space="preserve">每月預算範圍 | Monthly Budget Range</w:t>
            </w:r>
          </w:p>
        </w:tc>
        <w:tc>
          <w:tcPr>
            <w:tcW w:type="dxa" w:w="6260"/>
            <w:shd w:fill="FFF5EC" w:val="clear"/>
            <w:tcMar>
              <w:top w:type="dxa" w:w="90"/>
              <w:left w:type="dxa" w:w="130"/>
              <w:bottom w:type="dxa" w:w="90"/>
              <w:right w:type="dxa" w:w="130"/>
            </w:tcMar>
          </w:tcPr>
          <w:p>
            <w:pPr>
              <w:spacing w:after="0" w:line="280"/>
            </w:pPr>
            <w:r>
              <w:rPr>
                <w:color w:val="041F60"/>
                <w:sz w:val="20"/>
                <w:szCs w:val="20"/>
              </w:rPr>
              <w:t xml:space="preserve">budget → { min, max } numeric range</w:t>
            </w:r>
          </w:p>
        </w:tc>
      </w:tr>
      <w:tr>
        <w:tc>
          <w:tcPr>
            <w:tcW w:type="dxa" w:w="3100"/>
            <w:tcMar>
              <w:top w:type="dxa" w:w="90"/>
              <w:left w:type="dxa" w:w="130"/>
              <w:bottom w:type="dxa" w:w="90"/>
              <w:right w:type="dxa" w:w="130"/>
            </w:tcMar>
          </w:tcPr>
          <w:p>
            <w:pPr>
              <w:spacing w:after="0" w:line="280"/>
            </w:pPr>
            <w:r>
              <w:rPr>
                <w:color w:val="041F60"/>
                <w:sz w:val="20"/>
                <w:szCs w:val="20"/>
              </w:rPr>
              <w:t xml:space="preserve">房屋類型 | Preferred Building Type</w:t>
            </w:r>
          </w:p>
        </w:tc>
        <w:tc>
          <w:tcPr>
            <w:tcW w:type="dxa" w:w="6260"/>
            <w:tcMar>
              <w:top w:type="dxa" w:w="90"/>
              <w:left w:type="dxa" w:w="130"/>
              <w:bottom w:type="dxa" w:w="90"/>
              <w:right w:type="dxa" w:w="130"/>
            </w:tcMar>
          </w:tcPr>
          <w:p>
            <w:pPr>
              <w:spacing w:after="0" w:line="280"/>
            </w:pPr>
            <w:r>
              <w:rPr>
                <w:color w:val="041F60"/>
                <w:sz w:val="20"/>
                <w:szCs w:val="20"/>
              </w:rPr>
              <w:t xml:space="preserve">buildingType → Condo / HDB / Any</w:t>
            </w:r>
          </w:p>
        </w:tc>
      </w:tr>
      <w:tr>
        <w:tc>
          <w:tcPr>
            <w:tcW w:type="dxa" w:w="3100"/>
            <w:shd w:fill="FFF5EC" w:val="clear"/>
            <w:tcMar>
              <w:top w:type="dxa" w:w="90"/>
              <w:left w:type="dxa" w:w="130"/>
              <w:bottom w:type="dxa" w:w="90"/>
              <w:right w:type="dxa" w:w="130"/>
            </w:tcMar>
          </w:tcPr>
          <w:p>
            <w:pPr>
              <w:spacing w:after="0" w:line="280"/>
            </w:pPr>
            <w:r>
              <w:rPr>
                <w:color w:val="041F60"/>
                <w:sz w:val="20"/>
                <w:szCs w:val="20"/>
              </w:rPr>
              <w:t xml:space="preserve">偏好房型 | Preferred Housing Type</w:t>
            </w:r>
          </w:p>
        </w:tc>
        <w:tc>
          <w:tcPr>
            <w:tcW w:type="dxa" w:w="6260"/>
            <w:shd w:fill="FFF5EC" w:val="clear"/>
            <w:tcMar>
              <w:top w:type="dxa" w:w="90"/>
              <w:left w:type="dxa" w:w="130"/>
              <w:bottom w:type="dxa" w:w="90"/>
              <w:right w:type="dxa" w:w="130"/>
            </w:tcMar>
          </w:tcPr>
          <w:p>
            <w:pPr>
              <w:spacing w:after="0" w:line="280"/>
            </w:pPr>
            <w:r>
              <w:rPr>
                <w:color w:val="041F60"/>
                <w:sz w:val="20"/>
                <w:szCs w:val="20"/>
              </w:rPr>
              <w:t xml:space="preserve">housingType → Room / Whole Unit</w:t>
            </w:r>
          </w:p>
        </w:tc>
      </w:tr>
      <w:tr>
        <w:tc>
          <w:tcPr>
            <w:tcW w:type="dxa" w:w="3100"/>
            <w:tcMar>
              <w:top w:type="dxa" w:w="90"/>
              <w:left w:type="dxa" w:w="130"/>
              <w:bottom w:type="dxa" w:w="90"/>
              <w:right w:type="dxa" w:w="130"/>
            </w:tcMar>
          </w:tcPr>
          <w:p>
            <w:pPr>
              <w:spacing w:after="0" w:line="280"/>
            </w:pPr>
            <w:r>
              <w:rPr>
                <w:color w:val="041F60"/>
                <w:sz w:val="20"/>
                <w:szCs w:val="20"/>
              </w:rPr>
              <w:t xml:space="preserve">單位格局 | Preferred Unit Layout (multi-select)</w:t>
            </w:r>
          </w:p>
        </w:tc>
        <w:tc>
          <w:tcPr>
            <w:tcW w:type="dxa" w:w="6260"/>
            <w:tcMar>
              <w:top w:type="dxa" w:w="90"/>
              <w:left w:type="dxa" w:w="130"/>
              <w:bottom w:type="dxa" w:w="90"/>
              <w:right w:type="dxa" w:w="130"/>
            </w:tcMar>
          </w:tcPr>
          <w:p>
            <w:pPr>
              <w:spacing w:after="0" w:line="280"/>
            </w:pPr>
            <w:r>
              <w:rPr>
                <w:color w:val="041F60"/>
                <w:sz w:val="20"/>
                <w:szCs w:val="20"/>
              </w:rPr>
              <w:t xml:space="preserve">unitLayout → list e.g. [Common Room, Master Room]</w:t>
            </w:r>
          </w:p>
        </w:tc>
      </w:tr>
      <w:tr>
        <w:tc>
          <w:tcPr>
            <w:tcW w:type="dxa" w:w="3100"/>
            <w:shd w:fill="FFF5EC" w:val="clear"/>
            <w:tcMar>
              <w:top w:type="dxa" w:w="90"/>
              <w:left w:type="dxa" w:w="130"/>
              <w:bottom w:type="dxa" w:w="90"/>
              <w:right w:type="dxa" w:w="130"/>
            </w:tcMar>
          </w:tcPr>
          <w:p>
            <w:pPr>
              <w:spacing w:after="0" w:line="280"/>
            </w:pPr>
            <w:r>
              <w:rPr>
                <w:color w:val="041F60"/>
                <w:sz w:val="20"/>
                <w:szCs w:val="20"/>
              </w:rPr>
              <w:t xml:space="preserve">通勤時間 | Preferred Commute Time</w:t>
            </w:r>
          </w:p>
        </w:tc>
        <w:tc>
          <w:tcPr>
            <w:tcW w:type="dxa" w:w="6260"/>
            <w:shd w:fill="FFF5EC" w:val="clear"/>
            <w:tcMar>
              <w:top w:type="dxa" w:w="90"/>
              <w:left w:type="dxa" w:w="130"/>
              <w:bottom w:type="dxa" w:w="90"/>
              <w:right w:type="dxa" w:w="130"/>
            </w:tcMar>
          </w:tcPr>
          <w:p>
            <w:pPr>
              <w:spacing w:after="0" w:line="280"/>
            </w:pPr>
            <w:r>
              <w:rPr>
                <w:color w:val="041F60"/>
                <w:sz w:val="20"/>
                <w:szCs w:val="20"/>
              </w:rPr>
              <w:t xml:space="preserve">commuteTolMins → minutes (upper bound)</w:t>
            </w:r>
          </w:p>
        </w:tc>
      </w:tr>
      <w:tr>
        <w:tc>
          <w:tcPr>
            <w:tcW w:type="dxa" w:w="3100"/>
            <w:tcMar>
              <w:top w:type="dxa" w:w="90"/>
              <w:left w:type="dxa" w:w="130"/>
              <w:bottom w:type="dxa" w:w="90"/>
              <w:right w:type="dxa" w:w="130"/>
            </w:tcMar>
          </w:tcPr>
          <w:p>
            <w:pPr>
              <w:spacing w:after="0" w:line="280"/>
            </w:pPr>
            <w:r>
              <w:rPr>
                <w:color w:val="041F60"/>
                <w:sz w:val="20"/>
                <w:szCs w:val="20"/>
              </w:rPr>
              <w:t xml:space="preserve">協助媒合室友 | Help find a roommate</w:t>
            </w:r>
          </w:p>
        </w:tc>
        <w:tc>
          <w:tcPr>
            <w:tcW w:type="dxa" w:w="6260"/>
            <w:tcMar>
              <w:top w:type="dxa" w:w="90"/>
              <w:left w:type="dxa" w:w="130"/>
              <w:bottom w:type="dxa" w:w="90"/>
              <w:right w:type="dxa" w:w="130"/>
            </w:tcMar>
          </w:tcPr>
          <w:p>
            <w:pPr>
              <w:spacing w:after="0" w:line="280"/>
            </w:pPr>
            <w:r>
              <w:rPr>
                <w:color w:val="041F60"/>
                <w:sz w:val="20"/>
                <w:szCs w:val="20"/>
              </w:rPr>
              <w:t xml:space="preserve">wantRoommate → boolean</w:t>
            </w:r>
          </w:p>
        </w:tc>
      </w:tr>
      <w:tr>
        <w:tc>
          <w:tcPr>
            <w:tcW w:type="dxa" w:w="3100"/>
            <w:shd w:fill="FFF5EC" w:val="clear"/>
            <w:tcMar>
              <w:top w:type="dxa" w:w="90"/>
              <w:left w:type="dxa" w:w="130"/>
              <w:bottom w:type="dxa" w:w="90"/>
              <w:right w:type="dxa" w:w="130"/>
            </w:tcMar>
          </w:tcPr>
          <w:p>
            <w:pPr>
              <w:spacing w:after="0" w:line="280"/>
            </w:pPr>
            <w:r>
              <w:rPr>
                <w:color w:val="041F60"/>
                <w:sz w:val="20"/>
                <w:szCs w:val="20"/>
              </w:rPr>
              <w:t xml:space="preserve">其他特殊需求 | Additional Requirements</w:t>
            </w:r>
          </w:p>
        </w:tc>
        <w:tc>
          <w:tcPr>
            <w:tcW w:type="dxa" w:w="6260"/>
            <w:shd w:fill="FFF5EC" w:val="clear"/>
            <w:tcMar>
              <w:top w:type="dxa" w:w="90"/>
              <w:left w:type="dxa" w:w="130"/>
              <w:bottom w:type="dxa" w:w="90"/>
              <w:right w:type="dxa" w:w="130"/>
            </w:tcMar>
          </w:tcPr>
          <w:p>
            <w:pPr>
              <w:spacing w:after="0" w:line="280"/>
            </w:pPr>
            <w:r>
              <w:rPr>
                <w:color w:val="041F60"/>
                <w:sz w:val="20"/>
                <w:szCs w:val="20"/>
              </w:rPr>
              <w:t xml:space="preserve">extras → flags (pet / cooking / quiet / gym) + free-text note</w:t>
            </w:r>
          </w:p>
        </w:tc>
      </w:tr>
    </w:tbl>
    <w:p>
      <w:pPr>
        <w:spacing w:after="100"/>
      </w:pPr>
    </w:p>
    <w:p>
      <w:pPr>
        <w:spacing w:after="120" w:line="300"/>
      </w:pPr>
      <w:r>
        <w:rPr>
          <w:b/>
          <w:bCs/>
          <w:color w:val="1D9E75"/>
          <w:sz w:val="20"/>
          <w:szCs w:val="20"/>
        </w:rPr>
        <w:t xml:space="preserve">Status: </w:t>
      </w:r>
      <w:r>
        <w:rPr>
          <w:sz w:val="20"/>
          <w:szCs w:val="20"/>
        </w:rPr>
        <w:t xml:space="preserve">the parser (</w:t>
      </w:r>
      <w:r>
        <w:rPr>
          <w:rFonts w:ascii="Consolas" w:cs="Consolas" w:eastAsia="Consolas" w:hAnsi="Consolas"/>
          <w:sz w:val="20"/>
          <w:szCs w:val="20"/>
        </w:rPr>
        <w:t xml:space="preserve">formSchema.js</w:t>
      </w:r>
      <w:r>
        <w:rPr>
          <w:sz w:val="20"/>
          <w:szCs w:val="20"/>
        </w:rPr>
        <w:t xml:space="preserve">) is already written — it handles bilingual values, budget ranges, multi-select layouts, and free-text extras.</w:t>
      </w:r>
    </w:p>
    <w:p>
      <w:pPr>
        <w:pStyle w:val="Heading2"/>
      </w:pPr>
      <w:r>
        <w:t xml:space="preserve">3.2  Decision logic — who to send a property to</w:t>
      </w:r>
    </w:p>
    <w:p>
      <w:pPr>
        <w:spacing w:after="120" w:line="300"/>
      </w:pPr>
      <w:r>
        <w:t xml:space="preserve">Given one Google Form response and one property, the engine (</w:t>
      </w:r>
      <w:r>
        <w:rPr>
          <w:rFonts w:ascii="Consolas" w:cs="Consolas" w:eastAsia="Consolas" w:hAnsi="Consolas"/>
          <w:sz w:val="20"/>
          <w:szCs w:val="20"/>
        </w:rPr>
        <w:t xml:space="preserve">decisionLogic.js</w:t>
      </w:r>
      <w:r>
        <w:t xml:space="preserve">) produces a </w:t>
      </w:r>
      <w:r>
        <w:rPr>
          <w:b/>
          <w:bCs/>
        </w:rPr>
        <w:t xml:space="preserve">binary verdict: Send or Don’t send</w:t>
      </w:r>
      <w:r>
        <w:t xml:space="preserve"> — plus the reason. It weighs six factors:</w:t>
      </w:r>
    </w:p>
    <w:tbl>
      <w:tblPr>
        <w:tblW w:type="dxa" w:w="9360"/>
        <w:tblBorders>
          <w:top w:val="single" w:color="ECD9C8" w:sz="2"/>
          <w:left w:val="single" w:color="ECD9C8" w:sz="2"/>
          <w:bottom w:val="single" w:color="ECD9C8" w:sz="2"/>
          <w:right w:val="single" w:color="ECD9C8" w:sz="2"/>
          <w:insideH w:val="single" w:color="ECD9C8" w:sz="2"/>
          <w:insideV w:val="single" w:color="ECD9C8" w:sz="2"/>
        </w:tblBorders>
      </w:tblPr>
      <w:tblGrid>
        <w:gridCol w:w="2300"/>
        <w:gridCol w:w="1100"/>
        <w:gridCol w:w="5960"/>
      </w:tblGrid>
      <w:tr>
        <w:trPr>
          <w:tblHeader/>
        </w:trPr>
        <w:tc>
          <w:tcPr>
            <w:tcW w:type="dxa" w:w="2300"/>
            <w:shd w:fill="041F60" w:val="clear"/>
            <w:tcMar>
              <w:top w:type="dxa" w:w="90"/>
              <w:left w:type="dxa" w:w="130"/>
              <w:bottom w:type="dxa" w:w="90"/>
              <w:right w:type="dxa" w:w="130"/>
            </w:tcMar>
          </w:tcPr>
          <w:p>
            <w:pPr>
              <w:spacing w:after="0" w:line="280"/>
            </w:pPr>
            <w:r>
              <w:rPr>
                <w:b/>
                <w:bCs/>
                <w:color w:val="FFFFFF"/>
                <w:sz w:val="20"/>
                <w:szCs w:val="20"/>
              </w:rPr>
              <w:t xml:space="preserve">Factor</w:t>
            </w:r>
          </w:p>
        </w:tc>
        <w:tc>
          <w:tcPr>
            <w:tcW w:type="dxa" w:w="1100"/>
            <w:shd w:fill="041F60" w:val="clear"/>
            <w:tcMar>
              <w:top w:type="dxa" w:w="90"/>
              <w:left w:type="dxa" w:w="130"/>
              <w:bottom w:type="dxa" w:w="90"/>
              <w:right w:type="dxa" w:w="130"/>
            </w:tcMar>
          </w:tcPr>
          <w:p>
            <w:pPr>
              <w:spacing w:after="0" w:line="280"/>
            </w:pPr>
            <w:r>
              <w:rPr>
                <w:b/>
                <w:bCs/>
                <w:color w:val="FFFFFF"/>
                <w:sz w:val="20"/>
                <w:szCs w:val="20"/>
              </w:rPr>
              <w:t xml:space="preserve">Weight</w:t>
            </w:r>
          </w:p>
        </w:tc>
        <w:tc>
          <w:tcPr>
            <w:tcW w:type="dxa" w:w="5960"/>
            <w:shd w:fill="041F60" w:val="clear"/>
            <w:tcMar>
              <w:top w:type="dxa" w:w="90"/>
              <w:left w:type="dxa" w:w="130"/>
              <w:bottom w:type="dxa" w:w="90"/>
              <w:right w:type="dxa" w:w="130"/>
            </w:tcMar>
          </w:tcPr>
          <w:p>
            <w:pPr>
              <w:spacing w:after="0" w:line="280"/>
            </w:pPr>
            <w:r>
              <w:rPr>
                <w:b/>
                <w:bCs/>
                <w:color w:val="FFFFFF"/>
                <w:sz w:val="20"/>
                <w:szCs w:val="20"/>
              </w:rPr>
              <w:t xml:space="preserve">How it is judged</w:t>
            </w:r>
          </w:p>
        </w:tc>
      </w:tr>
      <w:tr>
        <w:tc>
          <w:tcPr>
            <w:tcW w:type="dxa" w:w="2300"/>
            <w:shd w:fill="FFF5EC" w:val="clear"/>
            <w:tcMar>
              <w:top w:type="dxa" w:w="90"/>
              <w:left w:type="dxa" w:w="130"/>
              <w:bottom w:type="dxa" w:w="90"/>
              <w:right w:type="dxa" w:w="130"/>
            </w:tcMar>
          </w:tcPr>
          <w:p>
            <w:pPr>
              <w:spacing w:after="0" w:line="280"/>
            </w:pPr>
            <w:r>
              <w:rPr>
                <w:color w:val="041F60"/>
                <w:sz w:val="20"/>
                <w:szCs w:val="20"/>
              </w:rPr>
              <w:t xml:space="preserve">Budget</w:t>
            </w:r>
          </w:p>
        </w:tc>
        <w:tc>
          <w:tcPr>
            <w:tcW w:type="dxa" w:w="1100"/>
            <w:shd w:fill="FFF5EC" w:val="clear"/>
            <w:tcMar>
              <w:top w:type="dxa" w:w="90"/>
              <w:left w:type="dxa" w:w="130"/>
              <w:bottom w:type="dxa" w:w="90"/>
              <w:right w:type="dxa" w:w="130"/>
            </w:tcMar>
          </w:tcPr>
          <w:p>
            <w:pPr>
              <w:spacing w:after="0" w:line="280"/>
            </w:pPr>
            <w:r>
              <w:rPr>
                <w:color w:val="041F60"/>
                <w:sz w:val="20"/>
                <w:szCs w:val="20"/>
              </w:rPr>
              <w:t xml:space="preserve">30</w:t>
            </w:r>
          </w:p>
        </w:tc>
        <w:tc>
          <w:tcPr>
            <w:tcW w:type="dxa" w:w="5960"/>
            <w:shd w:fill="FFF5EC" w:val="clear"/>
            <w:tcMar>
              <w:top w:type="dxa" w:w="90"/>
              <w:left w:type="dxa" w:w="130"/>
              <w:bottom w:type="dxa" w:w="90"/>
              <w:right w:type="dxa" w:w="130"/>
            </w:tcMar>
          </w:tcPr>
          <w:p>
            <w:pPr>
              <w:spacing w:after="0" w:line="280"/>
            </w:pPr>
            <w:r>
              <w:rPr>
                <w:color w:val="041F60"/>
                <w:sz w:val="20"/>
                <w:szCs w:val="20"/>
              </w:rPr>
              <w:t xml:space="preserve">Property rent must sit inside the student’s stated min–max range. A small overshoot scores partial; well over budget is a hard blocker.</w:t>
            </w:r>
          </w:p>
        </w:tc>
      </w:tr>
      <w:tr>
        <w:tc>
          <w:tcPr>
            <w:tcW w:type="dxa" w:w="2300"/>
            <w:tcMar>
              <w:top w:type="dxa" w:w="90"/>
              <w:left w:type="dxa" w:w="130"/>
              <w:bottom w:type="dxa" w:w="90"/>
              <w:right w:type="dxa" w:w="130"/>
            </w:tcMar>
          </w:tcPr>
          <w:p>
            <w:pPr>
              <w:spacing w:after="0" w:line="280"/>
            </w:pPr>
            <w:r>
              <w:rPr>
                <w:color w:val="041F60"/>
                <w:sz w:val="20"/>
                <w:szCs w:val="20"/>
              </w:rPr>
              <w:t xml:space="preserve">School</w:t>
            </w:r>
          </w:p>
        </w:tc>
        <w:tc>
          <w:tcPr>
            <w:tcW w:type="dxa" w:w="1100"/>
            <w:tcMar>
              <w:top w:type="dxa" w:w="90"/>
              <w:left w:type="dxa" w:w="130"/>
              <w:bottom w:type="dxa" w:w="90"/>
              <w:right w:type="dxa" w:w="130"/>
            </w:tcMar>
          </w:tcPr>
          <w:p>
            <w:pPr>
              <w:spacing w:after="0" w:line="280"/>
            </w:pPr>
            <w:r>
              <w:rPr>
                <w:color w:val="041F60"/>
                <w:sz w:val="20"/>
                <w:szCs w:val="20"/>
              </w:rPr>
              <w:t xml:space="preserve">22</w:t>
            </w:r>
          </w:p>
        </w:tc>
        <w:tc>
          <w:tcPr>
            <w:tcW w:type="dxa" w:w="5960"/>
            <w:tcMar>
              <w:top w:type="dxa" w:w="90"/>
              <w:left w:type="dxa" w:w="130"/>
              <w:bottom w:type="dxa" w:w="90"/>
              <w:right w:type="dxa" w:w="130"/>
            </w:tcMar>
          </w:tcPr>
          <w:p>
            <w:pPr>
              <w:spacing w:after="0" w:line="280"/>
            </w:pPr>
            <w:r>
              <w:rPr>
                <w:color w:val="041F60"/>
                <w:sz w:val="20"/>
                <w:szCs w:val="20"/>
              </w:rPr>
              <w:t xml:space="preserve">NUS / NTU / SMU recognised from the form; unlocks the commute number for that campus.</w:t>
            </w:r>
          </w:p>
        </w:tc>
      </w:tr>
      <w:tr>
        <w:tc>
          <w:tcPr>
            <w:tcW w:type="dxa" w:w="2300"/>
            <w:shd w:fill="FFF5EC" w:val="clear"/>
            <w:tcMar>
              <w:top w:type="dxa" w:w="90"/>
              <w:left w:type="dxa" w:w="130"/>
              <w:bottom w:type="dxa" w:w="90"/>
              <w:right w:type="dxa" w:w="130"/>
            </w:tcMar>
          </w:tcPr>
          <w:p>
            <w:pPr>
              <w:spacing w:after="0" w:line="280"/>
            </w:pPr>
            <w:r>
              <w:rPr>
                <w:color w:val="041F60"/>
                <w:sz w:val="20"/>
                <w:szCs w:val="20"/>
              </w:rPr>
              <w:t xml:space="preserve">Commute</w:t>
            </w:r>
          </w:p>
        </w:tc>
        <w:tc>
          <w:tcPr>
            <w:tcW w:type="dxa" w:w="1100"/>
            <w:shd w:fill="FFF5EC" w:val="clear"/>
            <w:tcMar>
              <w:top w:type="dxa" w:w="90"/>
              <w:left w:type="dxa" w:w="130"/>
              <w:bottom w:type="dxa" w:w="90"/>
              <w:right w:type="dxa" w:w="130"/>
            </w:tcMar>
          </w:tcPr>
          <w:p>
            <w:pPr>
              <w:spacing w:after="0" w:line="280"/>
            </w:pPr>
            <w:r>
              <w:rPr>
                <w:color w:val="041F60"/>
                <w:sz w:val="20"/>
                <w:szCs w:val="20"/>
              </w:rPr>
              <w:t xml:space="preserve">20</w:t>
            </w:r>
          </w:p>
        </w:tc>
        <w:tc>
          <w:tcPr>
            <w:tcW w:type="dxa" w:w="5960"/>
            <w:shd w:fill="FFF5EC" w:val="clear"/>
            <w:tcMar>
              <w:top w:type="dxa" w:w="90"/>
              <w:left w:type="dxa" w:w="130"/>
              <w:bottom w:type="dxa" w:w="90"/>
              <w:right w:type="dxa" w:w="130"/>
            </w:tcMar>
          </w:tcPr>
          <w:p>
            <w:pPr>
              <w:spacing w:after="0" w:line="280"/>
            </w:pPr>
            <w:r>
              <w:rPr>
                <w:color w:val="041F60"/>
                <w:sz w:val="20"/>
                <w:szCs w:val="20"/>
              </w:rPr>
              <w:t xml:space="preserve">Door-to-door minutes to their campus vs the commute tolerance they stated on the form.</w:t>
            </w:r>
          </w:p>
        </w:tc>
      </w:tr>
      <w:tr>
        <w:tc>
          <w:tcPr>
            <w:tcW w:type="dxa" w:w="2300"/>
            <w:tcMar>
              <w:top w:type="dxa" w:w="90"/>
              <w:left w:type="dxa" w:w="130"/>
              <w:bottom w:type="dxa" w:w="90"/>
              <w:right w:type="dxa" w:w="130"/>
            </w:tcMar>
          </w:tcPr>
          <w:p>
            <w:pPr>
              <w:spacing w:after="0" w:line="280"/>
            </w:pPr>
            <w:r>
              <w:rPr>
                <w:color w:val="041F60"/>
                <w:sz w:val="20"/>
                <w:szCs w:val="20"/>
              </w:rPr>
              <w:t xml:space="preserve">Housing type</w:t>
            </w:r>
          </w:p>
        </w:tc>
        <w:tc>
          <w:tcPr>
            <w:tcW w:type="dxa" w:w="1100"/>
            <w:tcMar>
              <w:top w:type="dxa" w:w="90"/>
              <w:left w:type="dxa" w:w="130"/>
              <w:bottom w:type="dxa" w:w="90"/>
              <w:right w:type="dxa" w:w="130"/>
            </w:tcMar>
          </w:tcPr>
          <w:p>
            <w:pPr>
              <w:spacing w:after="0" w:line="280"/>
            </w:pPr>
            <w:r>
              <w:rPr>
                <w:color w:val="041F60"/>
                <w:sz w:val="20"/>
                <w:szCs w:val="20"/>
              </w:rPr>
              <w:t xml:space="preserve">12</w:t>
            </w:r>
          </w:p>
        </w:tc>
        <w:tc>
          <w:tcPr>
            <w:tcW w:type="dxa" w:w="5960"/>
            <w:tcMar>
              <w:top w:type="dxa" w:w="90"/>
              <w:left w:type="dxa" w:w="130"/>
              <w:bottom w:type="dxa" w:w="90"/>
              <w:right w:type="dxa" w:w="130"/>
            </w:tcMar>
          </w:tcPr>
          <w:p>
            <w:pPr>
              <w:spacing w:after="0" w:line="280"/>
            </w:pPr>
            <w:r>
              <w:rPr>
                <w:color w:val="041F60"/>
                <w:sz w:val="20"/>
                <w:szCs w:val="20"/>
              </w:rPr>
              <w:t xml:space="preserve">Room vs Whole Unit. A mismatch here is a hard blocker — it caps the verdict at Don’t send.</w:t>
            </w:r>
          </w:p>
        </w:tc>
      </w:tr>
      <w:tr>
        <w:tc>
          <w:tcPr>
            <w:tcW w:type="dxa" w:w="2300"/>
            <w:shd w:fill="FFF5EC" w:val="clear"/>
            <w:tcMar>
              <w:top w:type="dxa" w:w="90"/>
              <w:left w:type="dxa" w:w="130"/>
              <w:bottom w:type="dxa" w:w="90"/>
              <w:right w:type="dxa" w:w="130"/>
            </w:tcMar>
          </w:tcPr>
          <w:p>
            <w:pPr>
              <w:spacing w:after="0" w:line="280"/>
            </w:pPr>
            <w:r>
              <w:rPr>
                <w:color w:val="041F60"/>
                <w:sz w:val="20"/>
                <w:szCs w:val="20"/>
              </w:rPr>
              <w:t xml:space="preserve">Unit layout</w:t>
            </w:r>
          </w:p>
        </w:tc>
        <w:tc>
          <w:tcPr>
            <w:tcW w:type="dxa" w:w="1100"/>
            <w:shd w:fill="FFF5EC" w:val="clear"/>
            <w:tcMar>
              <w:top w:type="dxa" w:w="90"/>
              <w:left w:type="dxa" w:w="130"/>
              <w:bottom w:type="dxa" w:w="90"/>
              <w:right w:type="dxa" w:w="130"/>
            </w:tcMar>
          </w:tcPr>
          <w:p>
            <w:pPr>
              <w:spacing w:after="0" w:line="280"/>
            </w:pPr>
            <w:r>
              <w:rPr>
                <w:color w:val="041F60"/>
                <w:sz w:val="20"/>
                <w:szCs w:val="20"/>
              </w:rPr>
              <w:t xml:space="preserve">9</w:t>
            </w:r>
          </w:p>
        </w:tc>
        <w:tc>
          <w:tcPr>
            <w:tcW w:type="dxa" w:w="5960"/>
            <w:shd w:fill="FFF5EC" w:val="clear"/>
            <w:tcMar>
              <w:top w:type="dxa" w:w="90"/>
              <w:left w:type="dxa" w:w="130"/>
              <w:bottom w:type="dxa" w:w="90"/>
              <w:right w:type="dxa" w:w="130"/>
            </w:tcMar>
          </w:tcPr>
          <w:p>
            <w:pPr>
              <w:spacing w:after="0" w:line="280"/>
            </w:pPr>
            <w:r>
              <w:rPr>
                <w:color w:val="041F60"/>
                <w:sz w:val="20"/>
                <w:szCs w:val="20"/>
              </w:rPr>
              <w:t xml:space="preserve">Multi-select — any overlap between their preferred layouts and the property’s unit type counts.</w:t>
            </w:r>
          </w:p>
        </w:tc>
      </w:tr>
      <w:tr>
        <w:tc>
          <w:tcPr>
            <w:tcW w:type="dxa" w:w="2300"/>
            <w:tcMar>
              <w:top w:type="dxa" w:w="90"/>
              <w:left w:type="dxa" w:w="130"/>
              <w:bottom w:type="dxa" w:w="90"/>
              <w:right w:type="dxa" w:w="130"/>
            </w:tcMar>
          </w:tcPr>
          <w:p>
            <w:pPr>
              <w:spacing w:after="0" w:line="280"/>
            </w:pPr>
            <w:r>
              <w:rPr>
                <w:color w:val="041F60"/>
                <w:sz w:val="20"/>
                <w:szCs w:val="20"/>
              </w:rPr>
              <w:t xml:space="preserve">Building type</w:t>
            </w:r>
          </w:p>
        </w:tc>
        <w:tc>
          <w:tcPr>
            <w:tcW w:type="dxa" w:w="1100"/>
            <w:tcMar>
              <w:top w:type="dxa" w:w="90"/>
              <w:left w:type="dxa" w:w="130"/>
              <w:bottom w:type="dxa" w:w="90"/>
              <w:right w:type="dxa" w:w="130"/>
            </w:tcMar>
          </w:tcPr>
          <w:p>
            <w:pPr>
              <w:spacing w:after="0" w:line="280"/>
            </w:pPr>
            <w:r>
              <w:rPr>
                <w:color w:val="041F60"/>
                <w:sz w:val="20"/>
                <w:szCs w:val="20"/>
              </w:rPr>
              <w:t xml:space="preserve">7</w:t>
            </w:r>
          </w:p>
        </w:tc>
        <w:tc>
          <w:tcPr>
            <w:tcW w:type="dxa" w:w="5960"/>
            <w:tcMar>
              <w:top w:type="dxa" w:w="90"/>
              <w:left w:type="dxa" w:w="130"/>
              <w:bottom w:type="dxa" w:w="90"/>
              <w:right w:type="dxa" w:w="130"/>
            </w:tcMar>
          </w:tcPr>
          <w:p>
            <w:pPr>
              <w:spacing w:after="0" w:line="280"/>
            </w:pPr>
            <w:r>
              <w:rPr>
                <w:color w:val="041F60"/>
                <w:sz w:val="20"/>
                <w:szCs w:val="20"/>
              </w:rPr>
              <w:t xml:space="preserve">Condo / HDB / Any against what the property is.</w:t>
            </w:r>
          </w:p>
        </w:tc>
      </w:tr>
    </w:tbl>
    <w:p>
      <w:pPr>
        <w:spacing w:after="120"/>
      </w:pPr>
    </w:p>
    <w:tbl>
      <w:tblPr>
        <w:tblW w:type="dxa" w:w="9360"/>
        <w:tblBorders>
          <w:top w:val="single" w:color="ECD9C8" w:sz="2"/>
          <w:left w:val="single" w:color="041F60" w:sz="18"/>
          <w:bottom w:val="single" w:color="ECD9C8" w:sz="2"/>
          <w:right w:val="single" w:color="ECD9C8" w:sz="2"/>
          <w:insideH w:val="single" w:color="auto" w:sz="4"/>
          <w:insideV w:val="single" w:color="auto" w:sz="4"/>
        </w:tblBorders>
      </w:tblPr>
      <w:tblGrid>
        <w:gridCol w:w="9360"/>
      </w:tblGrid>
      <w:tr>
        <w:tc>
          <w:tcPr>
            <w:tcW w:type="dxa" w:w="9360"/>
            <w:shd w:fill="FFF5EC" w:val="clear"/>
            <w:tcMar>
              <w:top w:type="dxa" w:w="130"/>
              <w:left w:type="dxa" w:w="170"/>
              <w:bottom w:type="dxa" w:w="130"/>
              <w:right w:type="dxa" w:w="150"/>
            </w:tcMar>
          </w:tcPr>
          <w:p>
            <w:pPr>
              <w:spacing w:after="60"/>
            </w:pPr>
            <w:r>
              <w:rPr>
                <w:b/>
                <w:bCs/>
                <w:color w:val="041F60"/>
                <w:sz w:val="21"/>
                <w:szCs w:val="21"/>
              </w:rPr>
              <w:t xml:space="preserve">The verdict is binary by design</w:t>
            </w:r>
          </w:p>
          <w:p>
            <w:pPr>
              <w:spacing w:after="40" w:line="280"/>
            </w:pPr>
            <w:r>
              <w:rPr>
                <w:color w:val="041F60"/>
                <w:sz w:val="20"/>
                <w:szCs w:val="20"/>
              </w:rPr>
              <w:t xml:space="preserve">The portal shows a clean Send / Don’t send — no STRONG / MEDIUM / WEAK grades. A 0–100 score is still computed, but used only to rank the Send list so the admin knows who to contact first.</w:t>
            </w:r>
          </w:p>
          <w:p>
            <w:pPr>
              <w:spacing w:after="40" w:line="280"/>
            </w:pPr>
            <w:r>
              <w:rPr>
                <w:sz w:val="20"/>
                <w:szCs w:val="20"/>
              </w:rPr>
              <w:t xml:space="preserve"/>
            </w:r>
          </w:p>
          <w:p>
            <w:pPr>
              <w:spacing w:after="40" w:line="280"/>
            </w:pPr>
            <w:r>
              <w:rPr>
                <w:color w:val="041F60"/>
                <w:sz w:val="20"/>
                <w:szCs w:val="20"/>
              </w:rPr>
              <w:t xml:space="preserve">Don’t send is triggered by any hard blocker (over budget, or a Room / Whole-Unit mismatch), by two or more stacked mismatches, or by a generally weak overall fit. Every “Don’t send” carries its reason — so a held-back student is a deliberate, explained decision, not an oversight.</w:t>
            </w:r>
          </w:p>
        </w:tc>
      </w:tr>
    </w:tbl>
    <w:p>
      <w:pPr>
        <w:spacing w:after="100"/>
      </w:pPr>
    </w:p>
    <w:tbl>
      <w:tblPr>
        <w:tblW w:type="dxa" w:w="9360"/>
        <w:tblBorders>
          <w:top w:val="single" w:color="ECD9C8" w:sz="2"/>
          <w:left w:val="single" w:color="FD6925" w:sz="18"/>
          <w:bottom w:val="single" w:color="ECD9C8" w:sz="2"/>
          <w:right w:val="single" w:color="ECD9C8" w:sz="2"/>
          <w:insideH w:val="single" w:color="auto" w:sz="4"/>
          <w:insideV w:val="single" w:color="auto" w:sz="4"/>
        </w:tblBorders>
      </w:tblPr>
      <w:tblGrid>
        <w:gridCol w:w="9360"/>
      </w:tblGrid>
      <w:tr>
        <w:tc>
          <w:tcPr>
            <w:tcW w:type="dxa" w:w="9360"/>
            <w:shd w:fill="FFF5EC" w:val="clear"/>
            <w:tcMar>
              <w:top w:type="dxa" w:w="130"/>
              <w:left w:type="dxa" w:w="170"/>
              <w:bottom w:type="dxa" w:w="130"/>
              <w:right w:type="dxa" w:w="150"/>
            </w:tcMar>
          </w:tcPr>
          <w:p>
            <w:pPr>
              <w:spacing w:after="60"/>
            </w:pPr>
            <w:r>
              <w:rPr>
                <w:b/>
                <w:bCs/>
                <w:color w:val="FD6925"/>
                <w:sz w:val="21"/>
                <w:szCs w:val="21"/>
              </w:rPr>
              <w:t xml:space="preserve">Principle: we do not blast</w:t>
            </w:r>
          </w:p>
          <w:p>
            <w:pPr>
              <w:spacing w:after="40" w:line="280"/>
            </w:pPr>
            <w:r>
              <w:rPr>
                <w:color w:val="041F60"/>
                <w:sz w:val="20"/>
                <w:szCs w:val="20"/>
              </w:rPr>
              <w:t xml:space="preserve">A poor match sent today costs a good match’s trust tomorrow. Holding a student back keeps them warm for the listing that genuinely fits them later. This is the same discipline already encoded in the room-showcase-pdf skill — the portal simply makes it systematic.</w:t>
            </w:r>
          </w:p>
        </w:tc>
      </w:tr>
    </w:tbl>
    <w:p>
      <w:pPr>
        <w:spacing w:after="120" w:line="300"/>
      </w:pPr>
      <w:r>
        <w:rPr>
          <w:b/>
          <w:bCs/>
          <w:color w:val="1D9E75"/>
          <w:sz w:val="20"/>
          <w:szCs w:val="20"/>
        </w:rPr>
        <w:t xml:space="preserve">Status: </w:t>
      </w:r>
      <w:r>
        <w:rPr>
          <w:sz w:val="20"/>
          <w:szCs w:val="20"/>
        </w:rPr>
        <w:t xml:space="preserve">the engine (</w:t>
      </w:r>
      <w:r>
        <w:rPr>
          <w:rFonts w:ascii="Consolas" w:cs="Consolas" w:eastAsia="Consolas" w:hAnsi="Consolas"/>
          <w:sz w:val="20"/>
          <w:szCs w:val="20"/>
        </w:rPr>
        <w:t xml:space="preserve">decisionLogic.js</w:t>
      </w:r>
      <w:r>
        <w:rPr>
          <w:sz w:val="20"/>
          <w:szCs w:val="20"/>
        </w:rPr>
        <w:t xml:space="preserve">) is already written — binary verdict, weighted scoring, hard-blocker handling, and a recommendRecipients() function that splits the whole database into a ranked Send list and an explained Hold list.</w:t>
      </w:r>
    </w:p>
    <w:p>
      <w:pPr>
        <w:pStyle w:val="Heading2"/>
      </w:pPr>
      <w:r>
        <w:t xml:space="preserve">3.3  Poster handoff</w:t>
      </w:r>
    </w:p>
    <w:p>
      <w:pPr>
        <w:spacing w:after="120" w:line="300"/>
      </w:pPr>
      <w:r>
        <w:t xml:space="preserve">Posters are </w:t>
      </w:r>
      <w:r>
        <w:rPr>
          <w:b/>
          <w:bCs/>
        </w:rPr>
        <w:t xml:space="preserve">not generated inside the portal</w:t>
      </w:r>
      <w:r>
        <w:t xml:space="preserve">. They are produced in the </w:t>
      </w:r>
      <w:r>
        <w:rPr>
          <w:b/>
          <w:bCs/>
        </w:rPr>
        <w:t xml:space="preserve">Claude chat app</w:t>
      </w:r>
      <w:r>
        <w:t xml:space="preserve"> — the admin pastes the WhatsApp forward (photos, PropertyGuru link, video) into a Claude conversation, the room-showcase-pdf skill runs there and returns the branded A4 showcase: embedded photos, facilities, site plan, tappable Google Maps commute links for NUS / NTU / SMU, and the room-tour video link.</w:t>
      </w:r>
    </w:p>
    <w:p>
      <w:pPr>
        <w:spacing w:after="120" w:line="300"/>
      </w:pPr>
      <w:r>
        <w:t xml:space="preserve">The admin then </w:t>
      </w:r>
      <w:r>
        <w:rPr>
          <w:b/>
          <w:bCs/>
        </w:rPr>
        <w:t xml:space="preserve">attaches that finished poster to the property record</w:t>
      </w:r>
      <w:r>
        <w:t xml:space="preserve"> — by uploading the PDF file into the portal. The poster then lives with the property record itself — no external link to a Drive folder that could move or rot. The portal’s job is to hold the structured property data, keep the poster PDF with it, and track whether it has been attached and sent. No API calls, no generation engine — the portal stays a lightweight system of record.</w:t>
      </w:r>
    </w:p>
    <w:tbl>
      <w:tblPr>
        <w:tblW w:type="dxa" w:w="9360"/>
        <w:tblBorders>
          <w:top w:val="single" w:color="ECD9C8" w:sz="2"/>
          <w:left w:val="single" w:color="FD6925" w:sz="18"/>
          <w:bottom w:val="single" w:color="ECD9C8" w:sz="2"/>
          <w:right w:val="single" w:color="ECD9C8" w:sz="2"/>
          <w:insideH w:val="single" w:color="auto" w:sz="4"/>
          <w:insideV w:val="single" w:color="auto" w:sz="4"/>
        </w:tblBorders>
      </w:tblPr>
      <w:tblGrid>
        <w:gridCol w:w="9360"/>
      </w:tblGrid>
      <w:tr>
        <w:tc>
          <w:tcPr>
            <w:tcW w:type="dxa" w:w="9360"/>
            <w:shd w:fill="FFF5EC" w:val="clear"/>
            <w:tcMar>
              <w:top w:type="dxa" w:w="130"/>
              <w:left w:type="dxa" w:w="170"/>
              <w:bottom w:type="dxa" w:w="130"/>
              <w:right w:type="dxa" w:w="150"/>
            </w:tcMar>
          </w:tcPr>
          <w:p>
            <w:pPr>
              <w:spacing w:after="60"/>
            </w:pPr>
            <w:r>
              <w:rPr>
                <w:b/>
                <w:bCs/>
                <w:color w:val="FD6925"/>
                <w:sz w:val="21"/>
                <w:szCs w:val="21"/>
              </w:rPr>
              <w:t xml:space="preserve">Why generation lives in Claude chat, not the portal</w:t>
            </w:r>
          </w:p>
          <w:p>
            <w:pPr>
              <w:spacing w:after="40" w:line="280"/>
            </w:pPr>
            <w:r>
              <w:rPr>
                <w:color w:val="041F60"/>
                <w:sz w:val="20"/>
                <w:szCs w:val="20"/>
              </w:rPr>
              <w:t xml:space="preserve">It removes the need for any API integration or generation infrastructure in the portal, and it keeps the room-showcase-pdf skill as the single place posters are made — the admin already works there. The portal records the result rather than reproducing the capability.</w:t>
            </w:r>
          </w:p>
        </w:tc>
      </w:tr>
    </w:tbl>
    <w:tbl>
      <w:tblPr>
        <w:tblW w:type="dxa" w:w="9360"/>
        <w:tblBorders>
          <w:top w:val="single" w:color="ECD9C8" w:sz="2"/>
          <w:left w:val="single" w:color="FD6925" w:sz="18"/>
          <w:bottom w:val="single" w:color="ECD9C8" w:sz="2"/>
          <w:right w:val="single" w:color="ECD9C8" w:sz="2"/>
          <w:insideH w:val="single" w:color="auto" w:sz="4"/>
          <w:insideV w:val="single" w:color="auto" w:sz="4"/>
        </w:tblBorders>
      </w:tblPr>
      <w:tblGrid>
        <w:gridCol w:w="9360"/>
      </w:tblGrid>
      <w:tr>
        <w:tc>
          <w:tcPr>
            <w:tcW w:type="dxa" w:w="9360"/>
            <w:shd w:fill="FFF5EC" w:val="clear"/>
            <w:tcMar>
              <w:top w:type="dxa" w:w="130"/>
              <w:left w:type="dxa" w:w="170"/>
              <w:bottom w:type="dxa" w:w="130"/>
              <w:right w:type="dxa" w:w="150"/>
            </w:tcMar>
          </w:tcPr>
          <w:p>
            <w:pPr>
              <w:spacing w:after="60"/>
            </w:pPr>
            <w:r>
              <w:rPr>
                <w:b/>
                <w:bCs/>
                <w:color w:val="FD6925"/>
                <w:sz w:val="21"/>
                <w:szCs w:val="21"/>
              </w:rPr>
              <w:t xml:space="preserve">Handling WhatsApp forwards honestly</w:t>
            </w:r>
          </w:p>
          <w:p>
            <w:pPr>
              <w:spacing w:after="40" w:line="280"/>
            </w:pPr>
            <w:r>
              <w:rPr>
                <w:color w:val="041F60"/>
                <w:sz w:val="20"/>
                <w:szCs w:val="20"/>
              </w:rPr>
              <w:t xml:space="preserve">Links and video URLs are recorded cleanly. For image-only forwards, rent, address, and unit details still need a quick manual entry when creating the property record — the portal makes that a tidy form rather than a guess. The same forward is then pasted into Claude chat to produce the poster.</w:t>
            </w:r>
          </w:p>
        </w:tc>
      </w:tr>
    </w:tbl>
    <w:p>
      <w:r>
        <w:br w:type="page"/>
      </w:r>
    </w:p>
    <w:p>
      <w:pPr>
        <w:pStyle w:val="Heading1"/>
      </w:pPr>
      <w:r>
        <w:t xml:space="preserve">4.  How a property moves through the portal</w:t>
      </w:r>
    </w:p>
    <w:p>
      <w:pPr>
        <w:pStyle w:val="ListParagraph"/>
        <w:numPr>
          <w:ilvl w:val="0"/>
          <w:numId w:val="3"/>
        </w:numPr>
        <w:spacing w:after="60" w:line="290"/>
      </w:pPr>
      <w:r>
        <w:rPr>
          <w:b/>
          <w:bCs/>
        </w:rPr>
        <w:t xml:space="preserve">Add the property. </w:t>
      </w:r>
      <w:r>
        <w:t xml:space="preserve">Admin opens Screen 1 and enters the property record from the agent’s WhatsApp forward — condo / HDB name, area, building type, age, room type, rent — recording photos, links, and video against it.</w:t>
      </w:r>
    </w:p>
    <w:p>
      <w:pPr>
        <w:pStyle w:val="ListParagraph"/>
        <w:numPr>
          <w:ilvl w:val="0"/>
          <w:numId w:val="3"/>
        </w:numPr>
        <w:spacing w:after="60" w:line="290"/>
      </w:pPr>
      <w:r>
        <w:rPr>
          <w:b/>
          <w:bCs/>
        </w:rPr>
        <w:t xml:space="preserve">Make the poster in Claude chat. </w:t>
      </w:r>
      <w:r>
        <w:t xml:space="preserve">Separately, the admin pastes the same WhatsApp forward into the Claude chat app; the room-showcase-pdf skill produces the branded poster.</w:t>
      </w:r>
    </w:p>
    <w:p>
      <w:pPr>
        <w:pStyle w:val="ListParagraph"/>
        <w:numPr>
          <w:ilvl w:val="0"/>
          <w:numId w:val="3"/>
        </w:numPr>
        <w:spacing w:after="60" w:line="290"/>
      </w:pPr>
      <w:r>
        <w:rPr>
          <w:b/>
          <w:bCs/>
        </w:rPr>
        <w:t xml:space="preserve">Attach the poster. </w:t>
      </w:r>
      <w:r>
        <w:t xml:space="preserve">Back in the portal, the admin uploads the finished poster PDF into the property record.</w:t>
      </w:r>
    </w:p>
    <w:p>
      <w:pPr>
        <w:pStyle w:val="ListParagraph"/>
        <w:numPr>
          <w:ilvl w:val="0"/>
          <w:numId w:val="3"/>
        </w:numPr>
        <w:spacing w:after="60" w:line="290"/>
      </w:pPr>
      <w:r>
        <w:rPr>
          <w:b/>
          <w:bCs/>
        </w:rPr>
        <w:t xml:space="preserve">Track. </w:t>
      </w:r>
      <w:r>
        <w:t xml:space="preserve">Screen 2 shows the property advancing: Data received → Poster attached → Sent.</w:t>
      </w:r>
    </w:p>
    <w:p>
      <w:pPr>
        <w:pStyle w:val="ListParagraph"/>
        <w:numPr>
          <w:ilvl w:val="0"/>
          <w:numId w:val="3"/>
        </w:numPr>
        <w:spacing w:after="60" w:line="290"/>
      </w:pPr>
      <w:r>
        <w:rPr>
          <w:b/>
          <w:bCs/>
        </w:rPr>
        <w:t xml:space="preserve">Recommend. </w:t>
      </w:r>
      <w:r>
        <w:t xml:space="preserve">On Screen 3, the admin loads the Google Form responses (CSV or manual) and runs them against this property. The portal returns a ranked Send list and an explained Hold list.</w:t>
      </w:r>
    </w:p>
    <w:p>
      <w:pPr>
        <w:pStyle w:val="ListParagraph"/>
        <w:numPr>
          <w:ilvl w:val="0"/>
          <w:numId w:val="3"/>
        </w:numPr>
        <w:spacing w:after="60" w:line="290"/>
      </w:pPr>
      <w:r>
        <w:rPr>
          <w:b/>
          <w:bCs/>
        </w:rPr>
        <w:t xml:space="preserve">Draft &amp; send. </w:t>
      </w:r>
      <w:r>
        <w:t xml:space="preserve">For each “Send” recipient, the portal drafts a warm, bilingual Line / Instagram message. The admin reviews and sends — the attached poster goes out with it.</w:t>
      </w:r>
    </w:p>
    <w:p>
      <w:pPr>
        <w:pStyle w:val="ListParagraph"/>
        <w:numPr>
          <w:ilvl w:val="0"/>
          <w:numId w:val="3"/>
        </w:numPr>
        <w:spacing w:after="60" w:line="290"/>
      </w:pPr>
      <w:r>
        <w:rPr>
          <w:b/>
          <w:bCs/>
        </w:rPr>
        <w:t xml:space="preserve">Inventory. </w:t>
      </w:r>
      <w:r>
        <w:t xml:space="preserve">The property now lives as a card on Screen 4, with its status, ready to be matched against future form responses too.</w:t>
      </w:r>
    </w:p>
    <w:p>
      <w:pPr>
        <w:pStyle w:val="Heading1"/>
      </w:pPr>
      <w:r>
        <w:t xml:space="preserve">5.  Architecture</w:t>
      </w:r>
    </w:p>
    <w:p>
      <w:pPr>
        <w:spacing w:after="120" w:line="300"/>
      </w:pPr>
      <w:r>
        <w:t xml:space="preserve">Single-page React application (Vite). State persists locally so it runs offline on any laptop — no backend required for v1. The persistence layer is deliberately isolated so a real database can be added later without touching the UI.</w:t>
      </w:r>
    </w:p>
    <w:tbl>
      <w:tblPr>
        <w:tblW w:type="dxa" w:w="9360"/>
        <w:tblBorders>
          <w:top w:val="single" w:color="ECD9C8" w:sz="2"/>
          <w:left w:val="single" w:color="ECD9C8" w:sz="2"/>
          <w:bottom w:val="single" w:color="ECD9C8" w:sz="2"/>
          <w:right w:val="single" w:color="ECD9C8" w:sz="2"/>
          <w:insideH w:val="single" w:color="ECD9C8" w:sz="2"/>
          <w:insideV w:val="single" w:color="ECD9C8" w:sz="2"/>
        </w:tblBorders>
      </w:tblPr>
      <w:tblGrid>
        <w:gridCol w:w="2500"/>
        <w:gridCol w:w="6860"/>
      </w:tblGrid>
      <w:tr>
        <w:trPr>
          <w:tblHeader/>
        </w:trPr>
        <w:tc>
          <w:tcPr>
            <w:tcW w:type="dxa" w:w="2500"/>
            <w:shd w:fill="041F60" w:val="clear"/>
            <w:tcMar>
              <w:top w:type="dxa" w:w="90"/>
              <w:left w:type="dxa" w:w="130"/>
              <w:bottom w:type="dxa" w:w="90"/>
              <w:right w:type="dxa" w:w="130"/>
            </w:tcMar>
          </w:tcPr>
          <w:p>
            <w:pPr>
              <w:spacing w:after="0" w:line="280"/>
            </w:pPr>
            <w:r>
              <w:rPr>
                <w:b/>
                <w:bCs/>
                <w:color w:val="FFFFFF"/>
                <w:sz w:val="20"/>
                <w:szCs w:val="20"/>
              </w:rPr>
              <w:t xml:space="preserve">Module</w:t>
            </w:r>
          </w:p>
        </w:tc>
        <w:tc>
          <w:tcPr>
            <w:tcW w:type="dxa" w:w="6860"/>
            <w:shd w:fill="041F60" w:val="clear"/>
            <w:tcMar>
              <w:top w:type="dxa" w:w="90"/>
              <w:left w:type="dxa" w:w="130"/>
              <w:bottom w:type="dxa" w:w="90"/>
              <w:right w:type="dxa" w:w="130"/>
            </w:tcMar>
          </w:tcPr>
          <w:p>
            <w:pPr>
              <w:spacing w:after="0" w:line="280"/>
            </w:pPr>
            <w:r>
              <w:rPr>
                <w:b/>
                <w:bCs/>
                <w:color w:val="FFFFFF"/>
                <w:sz w:val="20"/>
                <w:szCs w:val="20"/>
              </w:rPr>
              <w:t xml:space="preserve">Role</w:t>
            </w:r>
          </w:p>
        </w:tc>
      </w:tr>
      <w:tr>
        <w:tc>
          <w:tcPr>
            <w:tcW w:type="dxa" w:w="2500"/>
            <w:shd w:fill="FFF5EC" w:val="clear"/>
            <w:tcMar>
              <w:top w:type="dxa" w:w="90"/>
              <w:left w:type="dxa" w:w="130"/>
              <w:bottom w:type="dxa" w:w="90"/>
              <w:right w:type="dxa" w:w="130"/>
            </w:tcMar>
          </w:tcPr>
          <w:p>
            <w:pPr>
              <w:spacing w:after="0" w:line="280"/>
            </w:pPr>
            <w:r>
              <w:rPr>
                <w:rFonts w:ascii="Consolas" w:cs="Consolas" w:eastAsia="Consolas" w:hAnsi="Consolas"/>
                <w:sz w:val="20"/>
                <w:szCs w:val="20"/>
              </w:rPr>
              <w:t xml:space="preserve">formSchema.js</w:t>
            </w:r>
          </w:p>
        </w:tc>
        <w:tc>
          <w:tcPr>
            <w:tcW w:type="dxa" w:w="6860"/>
            <w:shd w:fill="FFF5EC" w:val="clear"/>
            <w:tcMar>
              <w:top w:type="dxa" w:w="90"/>
              <w:left w:type="dxa" w:w="130"/>
              <w:bottom w:type="dxa" w:w="90"/>
              <w:right w:type="dxa" w:w="130"/>
            </w:tcMar>
          </w:tcPr>
          <w:p>
            <w:pPr>
              <w:spacing w:after="0" w:line="280"/>
            </w:pPr>
            <w:r>
              <w:rPr>
                <w:color w:val="041F60"/>
                <w:sz w:val="20"/>
                <w:szCs w:val="20"/>
              </w:rPr>
              <w:t xml:space="preserve">Parses all 13 bilingual Google Form columns into clean response records.  Built.</w:t>
            </w:r>
          </w:p>
        </w:tc>
      </w:tr>
      <w:tr>
        <w:tc>
          <w:tcPr>
            <w:tcW w:type="dxa" w:w="2500"/>
            <w:tcMar>
              <w:top w:type="dxa" w:w="90"/>
              <w:left w:type="dxa" w:w="130"/>
              <w:bottom w:type="dxa" w:w="90"/>
              <w:right w:type="dxa" w:w="130"/>
            </w:tcMar>
          </w:tcPr>
          <w:p>
            <w:pPr>
              <w:spacing w:after="0" w:line="280"/>
            </w:pPr>
            <w:r>
              <w:rPr>
                <w:rFonts w:ascii="Consolas" w:cs="Consolas" w:eastAsia="Consolas" w:hAnsi="Consolas"/>
                <w:sz w:val="20"/>
                <w:szCs w:val="20"/>
              </w:rPr>
              <w:t xml:space="preserve">decisionLogic.js</w:t>
            </w:r>
          </w:p>
        </w:tc>
        <w:tc>
          <w:tcPr>
            <w:tcW w:type="dxa" w:w="6860"/>
            <w:tcMar>
              <w:top w:type="dxa" w:w="90"/>
              <w:left w:type="dxa" w:w="130"/>
              <w:bottom w:type="dxa" w:w="90"/>
              <w:right w:type="dxa" w:w="130"/>
            </w:tcMar>
          </w:tcPr>
          <w:p>
            <w:pPr>
              <w:spacing w:after="0" w:line="280"/>
            </w:pPr>
            <w:r>
              <w:rPr>
                <w:color w:val="041F60"/>
                <w:sz w:val="20"/>
                <w:szCs w:val="20"/>
              </w:rPr>
              <w:t xml:space="preserve">The Send / Don’t-send engine — weighted scoring, hard blockers, ranked recommendations.  Built.</w:t>
            </w:r>
          </w:p>
        </w:tc>
      </w:tr>
      <w:tr>
        <w:tc>
          <w:tcPr>
            <w:tcW w:type="dxa" w:w="2500"/>
            <w:shd w:fill="FFF5EC" w:val="clear"/>
            <w:tcMar>
              <w:top w:type="dxa" w:w="90"/>
              <w:left w:type="dxa" w:w="130"/>
              <w:bottom w:type="dxa" w:w="90"/>
              <w:right w:type="dxa" w:w="130"/>
            </w:tcMar>
          </w:tcPr>
          <w:p>
            <w:pPr>
              <w:spacing w:after="0" w:line="280"/>
            </w:pPr>
            <w:r>
              <w:rPr>
                <w:rFonts w:ascii="Consolas" w:cs="Consolas" w:eastAsia="Consolas" w:hAnsi="Consolas"/>
                <w:sz w:val="20"/>
                <w:szCs w:val="20"/>
              </w:rPr>
              <w:t xml:space="preserve">theme.js</w:t>
            </w:r>
          </w:p>
        </w:tc>
        <w:tc>
          <w:tcPr>
            <w:tcW w:type="dxa" w:w="6860"/>
            <w:shd w:fill="FFF5EC" w:val="clear"/>
            <w:tcMar>
              <w:top w:type="dxa" w:w="90"/>
              <w:left w:type="dxa" w:w="130"/>
              <w:bottom w:type="dxa" w:w="90"/>
              <w:right w:type="dxa" w:w="130"/>
            </w:tcMar>
          </w:tcPr>
          <w:p>
            <w:pPr>
              <w:spacing w:after="0" w:line="280"/>
            </w:pPr>
            <w:r>
              <w:rPr>
                <w:color w:val="041F60"/>
                <w:sz w:val="20"/>
                <w:szCs w:val="20"/>
              </w:rPr>
              <w:t xml:space="preserve">Brand tokens — the single source of truth for colour.</w:t>
            </w:r>
          </w:p>
        </w:tc>
      </w:tr>
      <w:tr>
        <w:tc>
          <w:tcPr>
            <w:tcW w:type="dxa" w:w="2500"/>
            <w:tcMar>
              <w:top w:type="dxa" w:w="90"/>
              <w:left w:type="dxa" w:w="130"/>
              <w:bottom w:type="dxa" w:w="90"/>
              <w:right w:type="dxa" w:w="130"/>
            </w:tcMar>
          </w:tcPr>
          <w:p>
            <w:pPr>
              <w:spacing w:after="0" w:line="280"/>
            </w:pPr>
            <w:r>
              <w:rPr>
                <w:rFonts w:ascii="Consolas" w:cs="Consolas" w:eastAsia="Consolas" w:hAnsi="Consolas"/>
                <w:sz w:val="20"/>
                <w:szCs w:val="20"/>
              </w:rPr>
              <w:t xml:space="preserve">store.js</w:t>
            </w:r>
          </w:p>
        </w:tc>
        <w:tc>
          <w:tcPr>
            <w:tcW w:type="dxa" w:w="6860"/>
            <w:tcMar>
              <w:top w:type="dxa" w:w="90"/>
              <w:left w:type="dxa" w:w="130"/>
              <w:bottom w:type="dxa" w:w="90"/>
              <w:right w:type="dxa" w:w="130"/>
            </w:tcMar>
          </w:tcPr>
          <w:p>
            <w:pPr>
              <w:spacing w:after="0" w:line="280"/>
            </w:pPr>
            <w:r>
              <w:rPr>
                <w:color w:val="041F60"/>
                <w:sz w:val="20"/>
                <w:szCs w:val="20"/>
              </w:rPr>
              <w:t xml:space="preserve">Local persistence. The seam: swap for a REST / database backend in v2, UI unchanged.</w:t>
            </w:r>
          </w:p>
        </w:tc>
      </w:tr>
      <w:tr>
        <w:tc>
          <w:tcPr>
            <w:tcW w:type="dxa" w:w="2500"/>
            <w:shd w:fill="FFF5EC" w:val="clear"/>
            <w:tcMar>
              <w:top w:type="dxa" w:w="90"/>
              <w:left w:type="dxa" w:w="130"/>
              <w:bottom w:type="dxa" w:w="90"/>
              <w:right w:type="dxa" w:w="130"/>
            </w:tcMar>
          </w:tcPr>
          <w:p>
            <w:pPr>
              <w:spacing w:after="0" w:line="280"/>
            </w:pPr>
            <w:r>
              <w:rPr>
                <w:rFonts w:ascii="Consolas" w:cs="Consolas" w:eastAsia="Consolas" w:hAnsi="Consolas"/>
                <w:sz w:val="20"/>
                <w:szCs w:val="20"/>
              </w:rPr>
              <w:t xml:space="preserve">components/</w:t>
            </w:r>
          </w:p>
        </w:tc>
        <w:tc>
          <w:tcPr>
            <w:tcW w:type="dxa" w:w="6860"/>
            <w:shd w:fill="FFF5EC" w:val="clear"/>
            <w:tcMar>
              <w:top w:type="dxa" w:w="90"/>
              <w:left w:type="dxa" w:w="130"/>
              <w:bottom w:type="dxa" w:w="90"/>
              <w:right w:type="dxa" w:w="130"/>
            </w:tcMar>
          </w:tcPr>
          <w:p>
            <w:pPr>
              <w:spacing w:after="0" w:line="280"/>
            </w:pPr>
            <w:r>
              <w:rPr>
                <w:color w:val="041F60"/>
                <w:sz w:val="20"/>
                <w:szCs w:val="20"/>
              </w:rPr>
              <w:t xml:space="preserve">The four screens — AddProperty, Status, Recommend, Listings — plus the CSV importer.</w:t>
            </w:r>
          </w:p>
        </w:tc>
      </w:tr>
    </w:tbl>
    <w:p>
      <w:pPr>
        <w:spacing w:after="120"/>
      </w:pPr>
    </w:p>
    <w:tbl>
      <w:tblPr>
        <w:tblW w:type="dxa" w:w="9360"/>
        <w:tblBorders>
          <w:top w:val="single" w:color="ECD9C8" w:sz="2"/>
          <w:left w:val="single" w:color="FD6925" w:sz="18"/>
          <w:bottom w:val="single" w:color="ECD9C8" w:sz="2"/>
          <w:right w:val="single" w:color="ECD9C8" w:sz="2"/>
          <w:insideH w:val="single" w:color="auto" w:sz="4"/>
          <w:insideV w:val="single" w:color="auto" w:sz="4"/>
        </w:tblBorders>
      </w:tblPr>
      <w:tblGrid>
        <w:gridCol w:w="9360"/>
      </w:tblGrid>
      <w:tr>
        <w:tc>
          <w:tcPr>
            <w:tcW w:type="dxa" w:w="9360"/>
            <w:shd w:fill="FFF5EC" w:val="clear"/>
            <w:tcMar>
              <w:top w:type="dxa" w:w="130"/>
              <w:left w:type="dxa" w:w="170"/>
              <w:bottom w:type="dxa" w:w="130"/>
              <w:right w:type="dxa" w:w="150"/>
            </w:tcMar>
          </w:tcPr>
          <w:p>
            <w:pPr>
              <w:spacing w:after="60"/>
            </w:pPr>
            <w:r>
              <w:rPr>
                <w:b/>
                <w:bCs/>
                <w:color w:val="FD6925"/>
                <w:sz w:val="21"/>
                <w:szCs w:val="21"/>
              </w:rPr>
              <w:t xml:space="preserve">Brand — non-negotiable</w:t>
            </w:r>
          </w:p>
          <w:p>
            <w:pPr>
              <w:spacing w:after="40" w:line="280"/>
            </w:pPr>
            <w:r>
              <w:rPr>
                <w:color w:val="041F60"/>
                <w:sz w:val="20"/>
                <w:szCs w:val="20"/>
              </w:rPr>
              <w:t xml:space="preserve">Primary orange #FD6925  ·  primary navy #041F60  ·  warm cream #FFF5EC background.  Background-removed Hommies.sg logo.  Tone everywhere: warm, family-first — “housemates becoming homies” — never corporate. Pulled verbatim from the room-showcase-pdf skill so nothing drifts.</w:t>
            </w:r>
          </w:p>
        </w:tc>
      </w:tr>
    </w:tbl>
    <w:p>
      <w:pPr>
        <w:pStyle w:val="Heading1"/>
      </w:pPr>
      <w:r>
        <w:t xml:space="preserve">6.  Scope</w:t>
      </w:r>
    </w:p>
    <w:p>
      <w:pPr>
        <w:pStyle w:val="Heading3"/>
      </w:pPr>
      <w:r>
        <w:t xml:space="preserve">In scope — v1</w:t>
      </w:r>
    </w:p>
    <w:p>
      <w:pPr>
        <w:pStyle w:val="ListParagraph"/>
        <w:numPr>
          <w:ilvl w:val="0"/>
          <w:numId w:val="2"/>
        </w:numPr>
        <w:spacing w:after="60" w:line="290"/>
      </w:pPr>
      <w:r>
        <w:t xml:space="preserve">The four screens, fully working, against the logic already built.</w:t>
      </w:r>
    </w:p>
    <w:p>
      <w:pPr>
        <w:pStyle w:val="ListParagraph"/>
        <w:numPr>
          <w:ilvl w:val="0"/>
          <w:numId w:val="2"/>
        </w:numPr>
        <w:spacing w:after="60" w:line="290"/>
      </w:pPr>
      <w:r>
        <w:t xml:space="preserve">CSV import and manual entry of Google Form responses.</w:t>
      </w:r>
    </w:p>
    <w:p>
      <w:pPr>
        <w:pStyle w:val="ListParagraph"/>
        <w:numPr>
          <w:ilvl w:val="0"/>
          <w:numId w:val="2"/>
        </w:numPr>
        <w:spacing w:after="60" w:line="290"/>
      </w:pPr>
      <w:r>
        <w:t xml:space="preserve">Decision logic producing ranked Send lists with drafted messages.</w:t>
      </w:r>
    </w:p>
    <w:p>
      <w:pPr>
        <w:pStyle w:val="ListParagraph"/>
        <w:numPr>
          <w:ilvl w:val="0"/>
          <w:numId w:val="2"/>
        </w:numPr>
        <w:spacing w:after="60" w:line="290"/>
      </w:pPr>
      <w:r>
        <w:t xml:space="preserve">Attaching posters — made in the Claude chat app — to property records by PDF file upload, with status tracking.</w:t>
      </w:r>
    </w:p>
    <w:p>
      <w:pPr>
        <w:pStyle w:val="ListParagraph"/>
        <w:numPr>
          <w:ilvl w:val="0"/>
          <w:numId w:val="2"/>
        </w:numPr>
        <w:spacing w:after="60" w:line="290"/>
      </w:pPr>
      <w:r>
        <w:t xml:space="preserve">Local persistence — runs offline, single admin.</w:t>
      </w:r>
    </w:p>
    <w:p>
      <w:pPr>
        <w:pStyle w:val="Heading3"/>
      </w:pPr>
      <w:r>
        <w:t xml:space="preserve">Out of scope — v1</w:t>
      </w:r>
    </w:p>
    <w:p>
      <w:pPr>
        <w:pStyle w:val="ListParagraph"/>
        <w:numPr>
          <w:ilvl w:val="0"/>
          <w:numId w:val="2"/>
        </w:numPr>
        <w:spacing w:after="60" w:line="290"/>
      </w:pPr>
      <w:r>
        <w:t xml:space="preserve">Poster generation inside the portal — posters are made in the Claude chat app via the room-showcase-pdf skill; no API calls or generation engine in the portal.</w:t>
      </w:r>
    </w:p>
    <w:p>
      <w:pPr>
        <w:pStyle w:val="ListParagraph"/>
        <w:numPr>
          <w:ilvl w:val="0"/>
          <w:numId w:val="2"/>
        </w:numPr>
        <w:spacing w:after="60" w:line="290"/>
      </w:pPr>
      <w:r>
        <w:t xml:space="preserve">Real authentication / multi-user access.</w:t>
      </w:r>
    </w:p>
    <w:p>
      <w:pPr>
        <w:pStyle w:val="ListParagraph"/>
        <w:numPr>
          <w:ilvl w:val="0"/>
          <w:numId w:val="2"/>
        </w:numPr>
        <w:spacing w:after="60" w:line="290"/>
      </w:pPr>
      <w:r>
        <w:t xml:space="preserve">Automated Line / Instagram sending — the portal drafts and tracks; the actual send stays manual.</w:t>
      </w:r>
    </w:p>
    <w:p>
      <w:pPr>
        <w:pStyle w:val="ListParagraph"/>
        <w:numPr>
          <w:ilvl w:val="0"/>
          <w:numId w:val="2"/>
        </w:numPr>
        <w:spacing w:after="60" w:line="290"/>
      </w:pPr>
      <w:r>
        <w:t xml:space="preserve">A student-facing surface or public deployment.</w:t>
      </w:r>
    </w:p>
    <w:p>
      <w:pPr>
        <w:pStyle w:val="ListParagraph"/>
        <w:numPr>
          <w:ilvl w:val="0"/>
          <w:numId w:val="2"/>
        </w:numPr>
        <w:spacing w:after="60" w:line="290"/>
      </w:pPr>
      <w:r>
        <w:t xml:space="preserve">Live in-portal PropertyGuru scraping — that remains the skill’s job.</w:t>
      </w:r>
    </w:p>
    <w:p>
      <w:pPr>
        <w:pStyle w:val="ListParagraph"/>
        <w:numPr>
          <w:ilvl w:val="0"/>
          <w:numId w:val="2"/>
        </w:numPr>
        <w:spacing w:after="60" w:line="290"/>
      </w:pPr>
      <w:r>
        <w:t xml:space="preserve">Optical extraction of rent / address from image-only forwards — entered manually.</w:t>
      </w:r>
    </w:p>
    <w:p>
      <w:pPr>
        <w:pStyle w:val="Heading1"/>
      </w:pPr>
      <w:r>
        <w:t xml:space="preserve">7.  Build plan</w:t>
      </w:r>
    </w:p>
    <w:p>
      <w:pPr>
        <w:spacing w:after="120" w:line="300"/>
      </w:pPr>
      <w:r>
        <w:t xml:space="preserve">Logic core is done. The remaining work, in order:</w:t>
      </w:r>
    </w:p>
    <w:p>
      <w:pPr>
        <w:pStyle w:val="ListParagraph"/>
        <w:numPr>
          <w:ilvl w:val="0"/>
          <w:numId w:val="4"/>
        </w:numPr>
        <w:spacing w:after="60" w:line="290"/>
      </w:pPr>
      <w:r>
        <w:t xml:space="preserve">Refresh store.js and seed data for the property + response model.</w:t>
      </w:r>
    </w:p>
    <w:p>
      <w:pPr>
        <w:pStyle w:val="ListParagraph"/>
        <w:numPr>
          <w:ilvl w:val="0"/>
          <w:numId w:val="4"/>
        </w:numPr>
        <w:spacing w:after="60" w:line="290"/>
      </w:pPr>
      <w:r>
        <w:t xml:space="preserve">Build the CSV importer and the manual-entry form.</w:t>
      </w:r>
    </w:p>
    <w:p>
      <w:pPr>
        <w:pStyle w:val="ListParagraph"/>
        <w:numPr>
          <w:ilvl w:val="0"/>
          <w:numId w:val="4"/>
        </w:numPr>
        <w:spacing w:after="60" w:line="290"/>
      </w:pPr>
      <w:r>
        <w:t xml:space="preserve">Build Screen 1 — Add Property — the property record form with poster PDF file upload.</w:t>
      </w:r>
    </w:p>
    <w:p>
      <w:pPr>
        <w:pStyle w:val="ListParagraph"/>
        <w:numPr>
          <w:ilvl w:val="0"/>
          <w:numId w:val="4"/>
        </w:numPr>
        <w:spacing w:after="60" w:line="290"/>
      </w:pPr>
      <w:r>
        <w:t xml:space="preserve">Build Screen 3 — Recommend — wiring the decision engine to the UI with drafted messages.</w:t>
      </w:r>
    </w:p>
    <w:p>
      <w:pPr>
        <w:pStyle w:val="ListParagraph"/>
        <w:numPr>
          <w:ilvl w:val="0"/>
          <w:numId w:val="4"/>
        </w:numPr>
        <w:spacing w:after="60" w:line="290"/>
      </w:pPr>
      <w:r>
        <w:t xml:space="preserve">Build Screen 2 — Status — the Data received → Poster attached → Sent tracker.</w:t>
      </w:r>
    </w:p>
    <w:p>
      <w:pPr>
        <w:pStyle w:val="ListParagraph"/>
        <w:numPr>
          <w:ilvl w:val="0"/>
          <w:numId w:val="4"/>
        </w:numPr>
        <w:spacing w:after="60" w:line="290"/>
      </w:pPr>
      <w:r>
        <w:t xml:space="preserve">Build Screen 4 — Listings — the card inventory with the four facts and filters.</w:t>
      </w:r>
    </w:p>
    <w:p>
      <w:pPr>
        <w:pStyle w:val="ListParagraph"/>
        <w:numPr>
          <w:ilvl w:val="0"/>
          <w:numId w:val="4"/>
        </w:numPr>
        <w:spacing w:after="60" w:line="290"/>
      </w:pPr>
      <w:r>
        <w:t xml:space="preserve">Assemble the app shell, nav, and brand pass; verify the production build.</w:t>
      </w:r>
    </w:p>
    <w:p>
      <w:pPr>
        <w:spacing w:after="160"/>
      </w:pPr>
    </w:p>
    <w:p>
      <w:pPr>
        <w:spacing w:before="200"/>
        <w:jc w:val="center"/>
      </w:pPr>
      <w:r>
        <w:rPr>
          <w:i/>
          <w:iCs/>
          <w:color w:val="5A6685"/>
          <w:sz w:val="19"/>
          <w:szCs w:val="19"/>
        </w:rPr>
        <w:t xml:space="preserve">—  Hommies.sg  ·  a trusted home for homies  🏠  —</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685"/>
        <w:sz w:val="15"/>
        <w:szCs w:val="15"/>
      </w:rPr>
      <w:t xml:space="preserve">We connect students with authorized agents — we are not agents.</w:t>
    </w:r>
    <w:r>
      <w:t xml:space="preserve">	</w:t>
    </w:r>
    <w:r>
      <w:rPr>
        <w:color w:val="5A6685"/>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0"/>
    </w:pPr>
    <w:r>
      <w:rPr>
        <w:b/>
        <w:bCs/>
        <w:color w:val="041F60"/>
        <w:sz w:val="16"/>
        <w:szCs w:val="16"/>
      </w:rPr>
      <w:t xml:space="preserve">HOMMIES.SG</w:t>
    </w:r>
    <w:r>
      <w:t xml:space="preserve">	</w:t>
    </w:r>
    <w:r>
      <w:rPr>
        <w:color w:val="5A6685"/>
        <w:sz w:val="16"/>
        <w:szCs w:val="16"/>
      </w:rPr>
      <w:t xml:space="preserve">opsx Proposal · Internal Portal</w:t>
    </w:r>
  </w:p>
  <w:p>
    <w:pPr>
      <w:pBdr>
        <w:bottom w:val="single" w:color="FD6925" w:sz="4" w:space="2"/>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FD6925"/>
      </w:rPr>
    </w:lvl>
  </w:abstractNum>
  <w:abstractNum w:abstractNumId="3" w15:restartNumberingAfterBreak="0">
    <w:multiLevelType w:val="hybridMultilevel"/>
    <w:lvl w:ilvl="0" w15:tentative="1">
      <w:start w:val="1"/>
      <w:numFmt w:val="decimal"/>
      <w:lvlText w:val="%1."/>
      <w:lvlJc w:val="left"/>
      <w:pPr>
        <w:ind w:left="460" w:hanging="300"/>
      </w:pPr>
      <w:rPr>
        <w:b/>
        <w:bCs/>
        <w:color w:val="FD6925"/>
      </w:rPr>
    </w:lvl>
  </w:abstractNum>
  <w:abstractNum w:abstractNumId="4" w15:restartNumberingAfterBreak="0">
    <w:multiLevelType w:val="hybridMultilevel"/>
    <w:lvl w:ilvl="0" w15:tentative="1">
      <w:start w:val="1"/>
      <w:numFmt w:val="decimal"/>
      <w:lvlText w:val="%1."/>
      <w:lvlJc w:val="left"/>
      <w:pPr>
        <w:ind w:left="460" w:hanging="300"/>
      </w:pPr>
      <w:rPr>
        <w:b/>
        <w:bCs/>
        <w:color w:val="FD6925"/>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41F6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D6925" w:sz="8" w:space="4"/>
      </w:pBdr>
      <w:spacing w:after="160" w:before="320"/>
      <w:outlineLvl w:val="0"/>
    </w:pPr>
    <w:rPr>
      <w:rFonts w:ascii="Arial" w:cs="Arial" w:eastAsia="Arial" w:hAnsi="Arial"/>
      <w:b/>
      <w:bCs/>
      <w:color w:val="041F6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041F60"/>
      <w:sz w:val="25"/>
      <w:szCs w:val="25"/>
    </w:rPr>
  </w:style>
  <w:style w:type="paragraph" w:styleId="Heading3">
    <w:name w:val="Heading 3"/>
    <w:basedOn w:val="Normal"/>
    <w:next w:val="Normal"/>
    <w:qFormat/>
    <w:pPr>
      <w:spacing w:after="80" w:before="180"/>
      <w:outlineLvl w:val="2"/>
    </w:pPr>
    <w:rPr>
      <w:rFonts w:ascii="Arial" w:cs="Arial" w:eastAsia="Arial" w:hAnsi="Arial"/>
      <w:b/>
      <w:bCs/>
      <w:color w:val="FD692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abfc5e51c28b6b82aa52816040afea915d9f2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opsx Proposal — Hommies.sg Internal Portal</dc:title>
  <dc:creator>Hommies.sg</dc:creator>
  <cp:lastModifiedBy>Un-named</cp:lastModifiedBy>
  <cp:revision>1</cp:revision>
  <dcterms:created xsi:type="dcterms:W3CDTF">2026-05-14T08:49:05.764Z</dcterms:created>
  <dcterms:modified xsi:type="dcterms:W3CDTF">2026-05-14T08:49:05.764Z</dcterms:modified>
</cp:coreProperties>
</file>

<file path=docProps/custom.xml><?xml version="1.0" encoding="utf-8"?>
<Properties xmlns="http://schemas.openxmlformats.org/officeDocument/2006/custom-properties" xmlns:vt="http://schemas.openxmlformats.org/officeDocument/2006/docPropsVTypes"/>
</file>