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rPr>
          <w:b/>
          <w:bCs/>
          <w:sz w:val="26"/>
          <w:szCs w:val="26"/>
        </w:rPr>
        <w:t xml:space="preserve">BECS 31213 Milestone 1</w:t>
      </w:r>
    </w:p>
    <w:p>
      <w:pPr>
        <w:spacing w:after="100" w:before="200"/>
        <w:jc w:val="center"/>
      </w:pPr>
      <w:r>
        <w:rPr>
          <w:b/>
          <w:bCs/>
          <w:sz w:val="40"/>
          <w:szCs w:val="40"/>
        </w:rPr>
        <w:t xml:space="preserve">MyHealth Lanka</w:t>
      </w:r>
    </w:p>
    <w:p>
      <w:pPr>
        <w:spacing w:after="400"/>
        <w:jc w:val="center"/>
      </w:pPr>
      <w:r>
        <w:rPr>
          <w:b/>
          <w:bCs/>
          <w:sz w:val="28"/>
          <w:szCs w:val="28"/>
        </w:rPr>
        <w:t xml:space="preserve">Patient-Owned Medical Records and Family Care Platform</w:t>
      </w:r>
    </w:p>
    <w:p>
      <w:pPr>
        <w:spacing w:after="240" w:line="320"/>
        <w:jc w:val="both"/>
      </w:pPr>
      <w:r>
        <w:t xml:space="preserve">MyHealth Lanka is a comprehensive patient-owned digital health platform designed specifically for Sri Lanka’s fragmented healthcare landscape. The system serves as a unified solution for individuals and families, enabling them to store their complete medical history, share it instantly with doctors via QR codes or secure links, and access it consistently across public hospitals, private hospitals, and small clinics — all from a single platform. Beyond standard record-keeping features, the platform integrates a deep women’s health module covering menstrual tracking, pregnancy guidance aligned with Sri Lanka’s Public Health Midwife (PHM) program, postpartum care, fertility, PCOS, and menopause support. It also offers a privacy-first family and partner management system with granular permissions, divorce-safe disconnection, and birth-to-eighteen profile handover; an AI-powered assistant that explains medical reports in plain Sinhala, Tamil, or English; and an Emergency and Safety service that provides one-tap hospital alerts, real-time location sharing with trusted contacts, and offline-cached critical health information — addressing a critical gap in patient-owned digital health infrastructure left by hospital-side systems such as HHIMS and channeling-focused platforms such as Doc990 and eChannelling.</w:t>
      </w:r>
    </w:p>
    <w:p>
      <w:pPr>
        <w:spacing w:after="400" w:line="320"/>
        <w:jc w:val="both"/>
      </w:pPr>
      <w:r>
        <w:t xml:space="preserve">The system is designed using a Microservices Architecture, decomposed into eight independent, loosely coupled services: User &amp; Authentication Service, Medical Records Service, Document &amp; AI Processing Service, Women’s Health Service, Family &amp; Partner Service, Doctor Verification Service, Emergency &amp; Safety Service, and Notification &amp; Sharing Service. Each service operates independently, communicates via APIs, and can be scaled or updated without affecting the rest of the system. The intended users include individual patients, expectant mothers, family caregivers, registered medical practitioners verified through the Sri Lanka Medical Council (SLMC), university medical faculty members serving as record verifiers, private hospital chains, diagnostic laboratories, and the Ministry of Health, making MyHealth Lanka a truly enterprise-grade platform that addresses real-world challenges in Sri Lanka’s underserved patient-owned digital health ecosystem while remaining fully compliant with the Personal Data Protection Act, No. 9 of 2022.</w:t>
      </w:r>
    </w:p>
    <w:p>
      <w:pPr>
        <w:spacing w:after="200" w:before="400"/>
      </w:pPr>
      <w:r>
        <w:rPr>
          <w:b/>
          <w:bCs/>
          <w:sz w:val="26"/>
          <w:szCs w:val="26"/>
        </w:rPr>
        <w:t xml:space="preserve">Group 27</w:t>
      </w:r>
    </w:p>
    <w:p>
      <w:pPr>
        <w:spacing w:after="150" w:before="100"/>
      </w:pPr>
      <w:r>
        <w:rPr>
          <w:b/>
          <w:bCs/>
          <w:sz w:val="26"/>
          <w:szCs w:val="26"/>
        </w:rPr>
        <w:t xml:space="preserve">Team Members</w:t>
      </w:r>
    </w:p>
    <w:p>
      <w:pPr>
        <w:spacing w:after="80"/>
      </w:pPr>
      <w:r>
        <w:t xml:space="preserve">EC/2022/012 - T.M.D.P.M De Alwis</w:t>
      </w:r>
    </w:p>
    <w:p>
      <w:pPr>
        <w:spacing w:after="80"/>
      </w:pPr>
      <w:r>
        <w:t xml:space="preserve">EC/2022/037 - K.G.H.D Bandara</w:t>
      </w:r>
    </w:p>
    <w:p>
      <w:pPr>
        <w:spacing w:after="80"/>
      </w:pPr>
      <w:r>
        <w:t xml:space="preserve">EC/2022/016 - B.T. Bhanuka</w:t>
      </w:r>
    </w:p>
    <w:p>
      <w:pPr>
        <w:spacing w:after="80"/>
      </w:pPr>
      <w:r>
        <w:t xml:space="preserve">EC/2022/055 - A.T.I Karunathilake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2026-05-05T15:47:25.254Z</dcterms:created>
  <dcterms:modified xsi:type="dcterms:W3CDTF">2026-05-05T15:47:25.254Z</dcterms:modified>
</cp:coreProperties>
</file>

<file path=docProps/custom.xml><?xml version="1.0" encoding="utf-8"?>
<Properties xmlns="http://schemas.openxmlformats.org/officeDocument/2006/custom-properties" xmlns:vt="http://schemas.openxmlformats.org/officeDocument/2006/docPropsVTypes"/>
</file>