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detruth-agent-v3-module-2"/>
    <w:p>
      <w:pPr>
        <w:pStyle w:val="Heading1"/>
      </w:pPr>
      <w:r>
        <w:t xml:space="preserve">CodeTruth Agent V3 — Module 2</w:t>
      </w:r>
    </w:p>
    <w:bookmarkStart w:id="20" w:name="components-and-capabilities"/>
    <w:p>
      <w:pPr>
        <w:pStyle w:val="Heading2"/>
      </w:pPr>
      <w:r>
        <w:t xml:space="preserve">Components and Capabilities</w:t>
      </w:r>
    </w:p>
    <w:p>
      <w:pPr>
        <w:pStyle w:val="FirstParagraph"/>
      </w:pPr>
      <w:r>
        <w:t xml:space="preserve">Module 2 provides deterministic repository connectivity understanding</w:t>
      </w:r>
      <w:r>
        <w:t xml:space="preserve"> </w:t>
      </w:r>
      <w:r>
        <w:t xml:space="preserve">through the following capabilities:</w:t>
      </w:r>
    </w:p>
    <w:p>
      <w:pPr>
        <w:pStyle w:val="SourceCode"/>
      </w:pPr>
      <w:r>
        <w:rPr>
          <w:rStyle w:val="VerbatimChar"/>
        </w:rPr>
        <w:t xml:space="preserve">1. Function Graph (V3-004)</w:t>
      </w:r>
      <w:r>
        <w:br/>
      </w:r>
      <w:r>
        <w:rPr>
          <w:rStyle w:val="VerbatimChar"/>
        </w:rPr>
        <w:t xml:space="preserve">   - Discovers functions, methods, async functions, and nested functions.</w:t>
      </w:r>
      <w:r>
        <w:br/>
      </w:r>
      <w:r>
        <w:rPr>
          <w:rStyle w:val="VerbatimChar"/>
        </w:rPr>
        <w:t xml:space="preserve">   - Generates module-qualified identifiers.</w:t>
      </w:r>
      <w:r>
        <w:br/>
      </w:r>
      <w:r>
        <w:br/>
      </w:r>
      <w:r>
        <w:rPr>
          <w:rStyle w:val="VerbatimChar"/>
        </w:rPr>
        <w:t xml:space="preserve">2. Class Graph (V3-005)</w:t>
      </w:r>
      <w:r>
        <w:br/>
      </w:r>
      <w:r>
        <w:rPr>
          <w:rStyle w:val="VerbatimChar"/>
        </w:rPr>
        <w:t xml:space="preserve">   - Discovers classes and declared inheritance relationships.</w:t>
      </w:r>
      <w:r>
        <w:br/>
      </w:r>
      <w:r>
        <w:rPr>
          <w:rStyle w:val="VerbatimChar"/>
        </w:rPr>
        <w:t xml:space="preserve">   - Supports cross-module inheritance resolution (D-004).</w:t>
      </w:r>
      <w:r>
        <w:br/>
      </w:r>
      <w:r>
        <w:br/>
      </w:r>
      <w:r>
        <w:rPr>
          <w:rStyle w:val="VerbatimChar"/>
        </w:rPr>
        <w:t xml:space="preserve">3. Module Graph (V3-006)</w:t>
      </w:r>
      <w:r>
        <w:br/>
      </w:r>
      <w:r>
        <w:rPr>
          <w:rStyle w:val="VerbatimChar"/>
        </w:rPr>
        <w:t xml:space="preserve">   - Maps package and module structure.</w:t>
      </w:r>
      <w:r>
        <w:br/>
      </w:r>
      <w:r>
        <w:rPr>
          <w:rStyle w:val="VerbatimChar"/>
        </w:rPr>
        <w:t xml:space="preserve">   - Tracks parent/child relationships.</w:t>
      </w:r>
      <w:r>
        <w:br/>
      </w:r>
      <w:r>
        <w:br/>
      </w:r>
      <w:r>
        <w:rPr>
          <w:rStyle w:val="VerbatimChar"/>
        </w:rPr>
        <w:t xml:space="preserve">4. Import Graph (V3-007)</w:t>
      </w:r>
      <w:r>
        <w:br/>
      </w:r>
      <w:r>
        <w:rPr>
          <w:rStyle w:val="VerbatimChar"/>
        </w:rPr>
        <w:t xml:space="preserve">   - Tracks internal repository imports.</w:t>
      </w:r>
      <w:r>
        <w:br/>
      </w:r>
      <w:r>
        <w:rPr>
          <w:rStyle w:val="VerbatimChar"/>
        </w:rPr>
        <w:t xml:space="preserve">   - Supports relative import resolution (D-007).</w:t>
      </w:r>
      <w:r>
        <w:br/>
      </w:r>
      <w:r>
        <w:br/>
      </w:r>
      <w:r>
        <w:rPr>
          <w:rStyle w:val="VerbatimChar"/>
        </w:rPr>
        <w:t xml:space="preserve">5. Dependency Graph (V3-008)</w:t>
      </w:r>
      <w:r>
        <w:br/>
      </w:r>
      <w:r>
        <w:rPr>
          <w:rStyle w:val="VerbatimChar"/>
        </w:rPr>
        <w:t xml:space="preserve">   - Separates internal imports from external dependencies.</w:t>
      </w:r>
      <w:r>
        <w:br/>
      </w:r>
      <w:r>
        <w:rPr>
          <w:rStyle w:val="VerbatimChar"/>
        </w:rPr>
        <w:t xml:space="preserve">   - Aggregates dependency usage.</w:t>
      </w:r>
      <w:r>
        <w:br/>
      </w:r>
      <w:r>
        <w:br/>
      </w:r>
      <w:r>
        <w:rPr>
          <w:rStyle w:val="VerbatimChar"/>
        </w:rPr>
        <w:t xml:space="preserve">6. Call Graph (V3-009)</w:t>
      </w:r>
      <w:r>
        <w:br/>
      </w:r>
      <w:r>
        <w:rPr>
          <w:rStyle w:val="VerbatimChar"/>
        </w:rPr>
        <w:t xml:space="preserve">   - Resolves function and method call relationships.</w:t>
      </w:r>
      <w:r>
        <w:br/>
      </w:r>
      <w:r>
        <w:rPr>
          <w:rStyle w:val="VerbatimChar"/>
        </w:rPr>
        <w:t xml:space="preserve">   - Validated with 1,005,321 resolved calls.</w:t>
      </w:r>
      <w:r>
        <w:br/>
      </w:r>
      <w:r>
        <w:br/>
      </w:r>
      <w:r>
        <w:rPr>
          <w:rStyle w:val="VerbatimChar"/>
        </w:rPr>
        <w:t xml:space="preserve">7. Global Symbol Resolution</w:t>
      </w:r>
      <w:r>
        <w:br/>
      </w:r>
      <w:r>
        <w:rPr>
          <w:rStyle w:val="VerbatimChar"/>
        </w:rPr>
        <w:t xml:space="preserve">   - Two-stage build architecture (D-001).</w:t>
      </w:r>
      <w:r>
        <w:br/>
      </w:r>
      <w:r>
        <w:rPr>
          <w:rStyle w:val="VerbatimChar"/>
        </w:rPr>
        <w:t xml:space="preserve">   - Enables cross-module call resolution.</w:t>
      </w:r>
      <w:r>
        <w:br/>
      </w:r>
      <w:r>
        <w:br/>
      </w:r>
      <w:r>
        <w:rPr>
          <w:rStyle w:val="VerbatimChar"/>
        </w:rPr>
        <w:t xml:space="preserve">8. Constructor Resolution</w:t>
      </w:r>
      <w:r>
        <w:br/>
      </w:r>
      <w:r>
        <w:rPr>
          <w:rStyle w:val="VerbatimChar"/>
        </w:rPr>
        <w:t xml:space="preserve">   - Resolves local and external constructor calls.</w:t>
      </w:r>
      <w:r>
        <w:br/>
      </w:r>
      <w:r>
        <w:rPr>
          <w:rStyle w:val="VerbatimChar"/>
        </w:rPr>
        <w:t xml:space="preserve">   - Added through D-002.</w:t>
      </w:r>
      <w:r>
        <w:br/>
      </w:r>
      <w:r>
        <w:br/>
      </w:r>
      <w:r>
        <w:rPr>
          <w:rStyle w:val="VerbatimChar"/>
        </w:rPr>
        <w:t xml:space="preserve">9. Inheritance Resolution</w:t>
      </w:r>
      <w:r>
        <w:br/>
      </w:r>
      <w:r>
        <w:rPr>
          <w:rStyle w:val="VerbatimChar"/>
        </w:rPr>
        <w:t xml:space="preserve">   - Resolves methods through inheritance chains.</w:t>
      </w:r>
      <w:r>
        <w:br/>
      </w:r>
      <w:r>
        <w:rPr>
          <w:rStyle w:val="VerbatimChar"/>
        </w:rPr>
        <w:t xml:space="preserve">   - Supports cross-file inheritance traversal.</w:t>
      </w:r>
      <w:r>
        <w:br/>
      </w:r>
      <w:r>
        <w:br/>
      </w:r>
      <w:r>
        <w:rPr>
          <w:rStyle w:val="VerbatimChar"/>
        </w:rPr>
        <w:t xml:space="preserve">10. Nested Function Resolution</w:t>
      </w:r>
      <w:r>
        <w:br/>
      </w:r>
      <w:r>
        <w:rPr>
          <w:rStyle w:val="VerbatimChar"/>
        </w:rPr>
        <w:t xml:space="preserve">    - Resolves recursive and sibling nested functions.</w:t>
      </w:r>
      <w:r>
        <w:br/>
      </w:r>
      <w:r>
        <w:rPr>
          <w:rStyle w:val="VerbatimChar"/>
        </w:rPr>
        <w:t xml:space="preserve">    - Added through D-006.</w:t>
      </w:r>
      <w:r>
        <w:br/>
      </w:r>
      <w:r>
        <w:br/>
      </w:r>
      <w:r>
        <w:rPr>
          <w:rStyle w:val="VerbatimChar"/>
        </w:rPr>
        <w:t xml:space="preserve">11. Qualified Module Resolution</w:t>
      </w:r>
      <w:r>
        <w:br/>
      </w:r>
      <w:r>
        <w:rPr>
          <w:rStyle w:val="VerbatimChar"/>
        </w:rPr>
        <w:t xml:space="preserve">    - Resolves dotted-path calls</w:t>
      </w:r>
      <w:r>
        <w:br/>
      </w:r>
      <w:r>
        <w:rPr>
          <w:rStyle w:val="VerbatimChar"/>
        </w:rPr>
        <w:t xml:space="preserve">      (pkg.utils.helper()).</w:t>
      </w:r>
      <w:r>
        <w:br/>
      </w:r>
      <w:r>
        <w:br/>
      </w:r>
      <w:r>
        <w:rPr>
          <w:rStyle w:val="VerbatimChar"/>
        </w:rPr>
        <w:t xml:space="preserve">12. Basic Type-Aware Resolution</w:t>
      </w:r>
      <w:r>
        <w:br/>
      </w:r>
      <w:r>
        <w:rPr>
          <w:rStyle w:val="VerbatimChar"/>
        </w:rPr>
        <w:t xml:space="preserve">    - Handles selected literal and constructor cases.</w:t>
      </w:r>
      <w:r>
        <w:br/>
      </w:r>
      <w:r>
        <w:rPr>
          <w:rStyle w:val="VerbatimChar"/>
        </w:rPr>
        <w:t xml:space="preserve">    - Added through Gap 2.</w:t>
      </w:r>
      <w:r>
        <w:br/>
      </w:r>
      <w:r>
        <w:br/>
      </w:r>
      <w:r>
        <w:rPr>
          <w:rStyle w:val="VerbatimChar"/>
        </w:rPr>
        <w:t xml:space="preserve">13. Cycle Detection</w:t>
      </w:r>
      <w:r>
        <w:br/>
      </w:r>
      <w:r>
        <w:rPr>
          <w:rStyle w:val="VerbatimChar"/>
        </w:rPr>
        <w:t xml:space="preserve">    - Detects import/module cycles using Tarjan SCC.</w:t>
      </w:r>
      <w:r>
        <w:br/>
      </w:r>
      <w:r>
        <w:rPr>
          <w:rStyle w:val="VerbatimChar"/>
        </w:rPr>
        <w:t xml:space="preserve">    - Produces cyclic_clusters.</w:t>
      </w:r>
      <w:r>
        <w:br/>
      </w:r>
      <w:r>
        <w:br/>
      </w:r>
      <w:r>
        <w:rPr>
          <w:rStyle w:val="VerbatimChar"/>
        </w:rPr>
        <w:t xml:space="preserve">14. Honest Unresolved Logging</w:t>
      </w:r>
      <w:r>
        <w:br/>
      </w:r>
      <w:r>
        <w:rPr>
          <w:rStyle w:val="VerbatimChar"/>
        </w:rPr>
        <w:t xml:space="preserve">    - Never guesses.</w:t>
      </w:r>
      <w:r>
        <w:br/>
      </w:r>
      <w:r>
        <w:rPr>
          <w:rStyle w:val="VerbatimChar"/>
        </w:rPr>
        <w:t xml:space="preserve">    - Records unresolved calls explicitly, with file/line/reason.</w:t>
      </w:r>
      <w:r>
        <w:br/>
      </w:r>
      <w:r>
        <w:br/>
      </w:r>
      <w:r>
        <w:rPr>
          <w:rStyle w:val="VerbatimChar"/>
        </w:rPr>
        <w:t xml:space="preserve">15. Governance Validation</w:t>
      </w:r>
      <w:r>
        <w:br/>
      </w:r>
      <w:r>
        <w:rPr>
          <w:rStyle w:val="VerbatimChar"/>
        </w:rPr>
        <w:t xml:space="preserve">    - APPROVED/BLOCKED gate.</w:t>
      </w:r>
      <w:r>
        <w:br/>
      </w:r>
      <w:r>
        <w:rPr>
          <w:rStyle w:val="VerbatimChar"/>
        </w:rPr>
        <w:t xml:space="preserve">    - Correctly BLOCKED non-Python repositories.</w:t>
      </w:r>
      <w:r>
        <w:br/>
      </w:r>
      <w:r>
        <w:br/>
      </w:r>
      <w:r>
        <w:rPr>
          <w:rStyle w:val="VerbatimChar"/>
        </w:rPr>
        <w:t xml:space="preserve">16. Repository-Scale Graph Construction</w:t>
      </w:r>
      <w:r>
        <w:br/>
      </w:r>
      <w:r>
        <w:rPr>
          <w:rStyle w:val="VerbatimChar"/>
        </w:rPr>
        <w:t xml:space="preserve">    - Validated across 69 repositories.</w:t>
      </w:r>
      <w:r>
        <w:br/>
      </w:r>
      <w:r>
        <w:rPr>
          <w:rStyle w:val="VerbatimChar"/>
        </w:rPr>
        <w:t xml:space="preserve">    - 49,379 Python files.</w:t>
      </w:r>
      <w:r>
        <w:br/>
      </w:r>
      <w:r>
        <w:rPr>
          <w:rStyle w:val="VerbatimChar"/>
        </w:rPr>
        <w:t xml:space="preserve">    - 515,610 functions.</w:t>
      </w:r>
      <w:r>
        <w:br/>
      </w:r>
      <w:r>
        <w:rPr>
          <w:rStyle w:val="VerbatimChar"/>
        </w:rPr>
        <w:t xml:space="preserve">    - 84,468 classes.</w:t>
      </w:r>
      <w:r>
        <w:br/>
      </w:r>
      <w:r>
        <w:br/>
      </w:r>
      <w:r>
        <w:rPr>
          <w:rStyle w:val="VerbatimChar"/>
        </w:rPr>
        <w:t xml:space="preserve">17. Deterministic Processing</w:t>
      </w:r>
      <w:r>
        <w:br/>
      </w:r>
      <w:r>
        <w:rPr>
          <w:rStyle w:val="VerbatimChar"/>
        </w:rPr>
        <w:t xml:space="preserve">    - No LLM.</w:t>
      </w:r>
      <w:r>
        <w:br/>
      </w:r>
      <w:r>
        <w:rPr>
          <w:rStyle w:val="VerbatimChar"/>
        </w:rPr>
        <w:t xml:space="preserve">    - Same repository -&gt; same graph.</w:t>
      </w:r>
      <w:r>
        <w:br/>
      </w:r>
      <w:r>
        <w:br/>
      </w:r>
      <w:r>
        <w:rPr>
          <w:rStyle w:val="VerbatimChar"/>
        </w:rPr>
        <w:t xml:space="preserve">18. Multi-Language Extension Architecture</w:t>
      </w:r>
      <w:r>
        <w:br/>
      </w:r>
      <w:r>
        <w:rPr>
          <w:rStyle w:val="VerbatimChar"/>
        </w:rPr>
        <w:t xml:space="preserve">    - Python mature.</w:t>
      </w:r>
      <w:r>
        <w:br/>
      </w:r>
      <w:r>
        <w:rPr>
          <w:rStyle w:val="VerbatimChar"/>
        </w:rPr>
        <w:t xml:space="preserve">    - Java implemented.</w:t>
      </w:r>
      <w:r>
        <w:br/>
      </w:r>
      <w:r>
        <w:rPr>
          <w:rStyle w:val="VerbatimChar"/>
        </w:rPr>
        <w:t xml:space="preserve">    - JavaScript/TypeScript implemented.</w:t>
      </w:r>
      <w:r>
        <w:br/>
      </w:r>
      <w:r>
        <w:rPr>
          <w:rStyle w:val="VerbatimChar"/>
        </w:rPr>
        <w:t xml:space="preserve">    - C/C++ implemented.</w:t>
      </w:r>
      <w:r>
        <w:br/>
      </w:r>
      <w:r>
        <w:rPr>
          <w:rStyle w:val="VerbatimChar"/>
        </w:rPr>
        <w:t xml:space="preserve">    - Go/Rust stubs.</w:t>
      </w:r>
      <w:r>
        <w:br/>
      </w:r>
      <w:r>
        <w:br/>
      </w:r>
      <w:r>
        <w:rPr>
          <w:rStyle w:val="VerbatimChar"/>
        </w:rPr>
        <w:t xml:space="preserve">19. Frozen Graph Contract</w:t>
      </w:r>
      <w:r>
        <w:br/>
      </w:r>
      <w:r>
        <w:rPr>
          <w:rStyle w:val="VerbatimChar"/>
        </w:rPr>
        <w:t xml:space="preserve">    - Produces a consistent 6-graph schema for downstream modules,</w:t>
      </w:r>
      <w:r>
        <w:br/>
      </w:r>
      <w:r>
        <w:rPr>
          <w:rStyle w:val="VerbatimChar"/>
        </w:rPr>
        <w:t xml:space="preserve">      shared across all language adapters.</w:t>
      </w:r>
      <w:r>
        <w:br/>
      </w:r>
      <w:r>
        <w:br/>
      </w:r>
      <w:r>
        <w:rPr>
          <w:rStyle w:val="VerbatimChar"/>
        </w:rPr>
        <w:t xml:space="preserve">20. Repository Connectivity Intelligence</w:t>
      </w:r>
      <w:r>
        <w:br/>
      </w:r>
      <w:r>
        <w:rPr>
          <w:rStyle w:val="VerbatimChar"/>
        </w:rPr>
        <w:t xml:space="preserve">    - Provides the data needed to answer:</w:t>
      </w:r>
      <w:r>
        <w:br/>
      </w:r>
      <w:r>
        <w:rPr>
          <w:rStyle w:val="VerbatimChar"/>
        </w:rPr>
        <w:t xml:space="preserve">      What calls this?</w:t>
      </w:r>
      <w:r>
        <w:br/>
      </w:r>
      <w:r>
        <w:rPr>
          <w:rStyle w:val="VerbatimChar"/>
        </w:rPr>
        <w:t xml:space="preserve">      What imports this?</w:t>
      </w:r>
      <w:r>
        <w:br/>
      </w:r>
      <w:r>
        <w:rPr>
          <w:rStyle w:val="VerbatimChar"/>
        </w:rPr>
        <w:t xml:space="preserve">      What inherits from this?</w:t>
      </w:r>
      <w:r>
        <w:br/>
      </w:r>
      <w:r>
        <w:rPr>
          <w:rStyle w:val="VerbatimChar"/>
        </w:rPr>
        <w:t xml:space="preserve">      What depends on this?</w:t>
      </w:r>
    </w:p>
    <w:p>
      <w:r>
        <w:pict>
          <v:rect style="width:0;height:1.5pt" o:hralign="center" o:hrstd="t" o:hr="t"/>
        </w:pict>
      </w:r>
    </w:p>
    <w:bookmarkEnd w:id="20"/>
    <w:bookmarkStart w:id="21" w:name="source-of-validation-data"/>
    <w:p>
      <w:pPr>
        <w:pStyle w:val="Heading2"/>
      </w:pPr>
      <w:r>
        <w:t xml:space="preserve">Source of Validation Data</w:t>
      </w:r>
    </w:p>
    <w:p>
      <w:pPr>
        <w:pStyle w:val="FirstParagraph"/>
      </w:pPr>
      <w:r>
        <w:t xml:space="preserve">All figures above are drawn from the 69-repository validation run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MODULE2_VALIDATION_SUMMARY.md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MODULE2_FULL_SUMMARY.{json,csv,md}</w:t>
      </w:r>
      <w:r>
        <w:t xml:space="preserve"> </w:t>
      </w:r>
      <w:r>
        <w:t xml:space="preserve">— the same 69-repository set used for</w:t>
      </w:r>
      <w:r>
        <w:t xml:space="preserve"> </w:t>
      </w:r>
      <w:r>
        <w:t xml:space="preserve">Module 1’s validation, for direct comparability.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2026-06-15T15:15:41Z</dcterms:created>
  <dcterms:modified xsi:type="dcterms:W3CDTF">2026-06-15T15:15:41Z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